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07c" w14:textId="754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11440235,2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3402493,5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128000,9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7873843,5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12613228,1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1218509,9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1371421,0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корпоративному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2024 год в сумме 69079,0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текущие трансферты из вышестоящего бюджета в сумме 725171,0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развитие из вышестоящего бюджета в сумме 1319797,0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149526,0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на 2024 год в сумме 388052,0 тысячи тенге, передаваемую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погашение долга перед вышестоящими бюджетами в сумме 383833,0 тысячи тенге в соответствии с заключенными кредитными договорами.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