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abff" w14:textId="63ea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сельскому округу Аккала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2023 года № 9-9/VIII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сельскому округу Аккала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сельскому округу Аккала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сельскому округу Аккала на 2023-2024 годы (далее -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сельского округа Аккала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Аккала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сельского округа Аккала 61 114 гектар, из них пастбищные земли – 32 078 гектар.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относительно прохладная, лето жаркое и засушливое. Среднегодовая температура января - 20; - 28 ° С, в июле +16; + 29 ° С. Среднее количество осадков составляет 32 мм и 325 мм в 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округа разнообразна, всего насчитывается более 1000 видов. Самые распространенные из них - кустарники.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чернозем, чернозем обыкновенный, почва темно-коричневая. Толщина плодородного слоя почвы 38-80 см.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сельского округа Аккала имеется ветеринарный пункт, скотомогильник.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сельском округе Аккала насчитывается крупного рогатого скота 2132 голов, мелкого рогатого скота 5064 голов, лошадей 1242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сельскому округу Аккала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Аккала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пастбищными угодьями по сельскому округу Аккала, имеются всего 32 078 га.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сельского округа Аккала по содержанию маточного (дойного) поголовья сельскохозяйственных животных при имеющихся пастбищных угодьях населенных пунктов в размере 32 078 га, потребности в пастбищных угодьях нет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Аккала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сельского округа Аккала организовано 2 гурта: 1 гурт в западной части села, 1 гурт в северной части села.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32 078 га пастбищных угодий полностью достаточны по сельскому округу.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6 га, мелкий рогатый скот – 1,2 га, лошадей – 7,2 га, производится на отгонных пастбищах сельхозпроизводителей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 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Аккала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27562,8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Пастбищных угодий по сельскому округу Аккала достаточно.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сельскому округу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 сельскому округу Аккала  в разрезе категорий земель, собственников земельных участков  и землепользователей на основании правоустанавливающих документов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061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сельскому округу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(В-Л-О) весна-лето-осень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сельскому округу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5311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сельскому округу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сельскому округу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сельскому округу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при сельском  округе Аккала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сельскому округу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сельскому округу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3787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