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8421" w14:textId="ddc8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января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 (зарегистрирован в Реестре государственной регистрации нормативных правовых актов под № 17771)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 военных учебных заведений Министерства обороны Республики Казахстан, предоставляемые на платной основе,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752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военных учебных заведений Министерства обороны Республики Казахстан, предоставляемые на платной основе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Проведение научных и оборонных исследований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грантового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программно-целевого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 и ВНТК**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Оборонные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СОИ***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3 до 5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6 до 9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10 до 15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15 000 000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Услуги по разработке 3D моделей и изготовлению деталей на 3D принтерах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3D модели детали в специализированной программе для последующей печати детали на 3D принтере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деталь, изготовленная на 3D принтере весом от 101 до 110 грамм 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деталь, изготовленная на 3D принтере весом до 100 грамм из жидкого полимера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100 до 110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 до 50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51 до 100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200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201 до 300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301 до 500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501 до 1000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Сдача в аренду помещений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конференц-зала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брифинг-зала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актового 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аудиторий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комнат общежитий площадью 37 кв.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комнат общежитий площадью 43 кв.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Услуги по посещению плавательного бассейна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Разовое посещение плавательного бассейна (взрослый)****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процесс по оздоровительному плаванию для взрослого посетителя, в месяц 12 занятий по 1 часу****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Аренда футбольного поля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футбольного поля****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футбольного поля на 1 месяц, по 1 часу 3 раза в неделю****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Переподготовка и повышение квалификации специалистов, военная подготовка граждан по программам офицеров и сержантов запаса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интенсивного изучения иностранного языка (английского)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профессорско-преподавательского состава военных кафедр при гражданских высших учебных заведениях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подготовка с помощниками акимов по вопросам военной безопасности и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учителей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подготовки по программе академии "CISCO"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граждан по программам офицеров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граждан по программам сержантов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Изготовление журналов, книг и учебно-методических пособий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101 до 120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121 до 140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141 до 160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161 до 180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181 до 200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201 до 220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221 до 240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241 до 260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261 до 280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281 до 300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301 до 320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321 до 340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341 до 360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361 до 380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381 до 400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401 до 420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421 до 440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441 до 460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461 до 480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481 до 500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101 до 120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121 до 140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141 до 160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161 до 180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181 до 200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201 до 220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221 до 240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241 до 260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261 до 280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281 до 300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301 до 320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321 до 340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341 до 360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361 до 380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381 до 400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401 до 420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421 до 440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441 до 460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461 до 480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481 до 500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Услуги печати на цифровых аппаратах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Услуги черно-белой печати на цветных принтерах и черно-белых цифровых аппаратах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А4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А3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А4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А3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А4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А3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А4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А3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Предоставление интеллектуальных прав на результаты научных исследований по лицензионному договору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технической документации при серийном производстве одной единицы беспилотного летательного аппарата "Шагала"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технической документации при серийном производстве одной единицы технического средства противодействия коммерческим беспилотным летательным аппаратам "Найзагай"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"Специальная геоинформационная платформа"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 сроком на 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 сроком на 12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Опубликование научных статей в рецензируемых научных изданиях и изготовлению сборников конференций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научно-образовательном журнале "Вестник"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военно-теоретическом журнале "Бағдар"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военно-техническом журнале "Научные труды ВИИРЭиС"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сборника конференции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Организация и проведение учебных сборов для студентов военных кафедр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занятий со студентами военных кафедр на учебных сборах (на полигонах)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ННС* – Национальный научный совет,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науке" ННС принимает решение о грантовом и программно-целевом финансировании.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ВНТК** – Высшая научно-техническая комиссия при Правительстве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науке" ВНТК принимает решение о программно-целевом финансировании (в том числе вне конкурсных процедур).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СОИ*** – Совет по оборонным исследованиям, коллегиальный консультативно-совещательный орган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оборонных исследований, утвержденных приказом Министра обороны Республики Казахстан от 1 августа 2017 года № 403 (зарегистрирован в Реестре государственной регистрации нормативных правовых актов за № 15602) принимает решение по финансированию оборонных исследований.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по посещению плавательного бассейна, аренды футбольных полей военных учебных заведений Министерства обороны Республики Казахстан**** – не допускается предоставление услуг во время учебного процесса обучаемых военных учебных заведений Министерства обороны Республики Казахстан, а также мероприятий, проводимых в рамках Вооруженных Сил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Товары (работы, услуги), указанные в главах 7, 8 и 9 изготавливаются и выполняются на стандартных листах, плотностью 80 грамм на м2 форматом А4 и А3.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