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0023" w14:textId="71e0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31 июля 2019 года № 590 "Об утверждении Правил штурманского обеспечения государственной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5 апреля 2024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31 июля 2019 года № 590 "Об утверждении Правил штурманского обеспечения государственной авиации Республики Казахстан" (зарегистрирован в Реестре государственной регистрации нормативных правовых актов за № 19184)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штурманского обеспечения государственной авиации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летчик (пилот)-оператор беспилотного воздушного судна (далее – БВС) – член экипажа БВС, допущенный к выполнению функций по управлению БВС аэродромного базирования;";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Объем и содержание мероприятий штурманского обеспечения полетов определяются характером выполняемых задач, навигационной обстановкой района полетов, тактико-техническими данными воздушных судов, уровнем штурманской подготовки летчиков, штурманов, летчиков-операторов БВС, группы руководства полетов и расчетов пунктов управления, а также располагаемым временем.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штурманской службы государственной авиации являются: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высокой точности, надежности и безопасности воздушной навигации и эффективного боевого применения;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мероприятий по достижению и поддержанию уровня штурманской подготовки авиационных частей (подразделений);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реализация мероприятий штурманского обеспечения полетов;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и совершенствование теории и практики воздушной навигации и боевого применения воздушных судов, а также средств их обеспечения;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сбора информации и обработки статистического материала, характеризующего точность, надежность и эффективность воздушной навигации и боевого применения;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постоянное совершенствование методики обучения и выполнения нормативов оценок воздушной навигации и боевого применения;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исследований, изыскание путей повышения точностных характеристик прицельно-навигационных комплексов (прицельно-навигационного оборудования) и совершенствование методики их применения;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обеспечению аэронавигационной информацией авиационных частей (подразделений) государственной авиации;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полетных заданий и контроль за качеством их выполнения экипажами воздушных судов (БВС);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реализации мероприятий по навигационному оборудованию территории Республики Казахстан и районов базирования (полетов) государственной авиации;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реализация мероприятий направленных на обеспечение безопасности полетов в штурманском отношении;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автоматизация решения задач штурманского обеспечения боевой подготовки авиационных частей (подразделений) государственной авиации.";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Навигационное оборудование района полетов включает в себя: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расстановку стационарных и подвижных средств радиотехнического обеспечения полетов и наземных станций управления БВС;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геодезическую привязку позиций средств радиотехнического обеспечения полетов и наземных станций управления БВС;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рабочих областей средств радиотехнического обеспечения и возможных областей выполнения полетов БВС для различных высот полета;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данных работы средств радиотехнического обеспечения полетов;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поправок на распространение радиоволн различных радионавигационных систем;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облет рабочих областей систем радиотехнического обеспечения полетов.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Расстановка стационарных и подвижных средств радиотехнического обеспечения полетов и наземных станций управления БВС производится таким образом, чтобы создать сплошное радионавигационное поле в целях обеспечения максимальной точности определения места воздушного судна и более надежного решения задач воздушной навигации и боевого применения воздушных судов.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подвижных средств радиотехнического обеспечения полетов выбираются после определения рабочих областей стационарных средств.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расстановке учитывается возможность и необходимость дублирования рабочей области одной системы рабочей областью системы другого типа.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позиций для развертывания средств радиотехнического обеспечения полетов осуществляется специалистами связи и радиотехнического обеспечения полетов и офицерами штурманской службы.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Геодезическая привязка позиций средств радиотехнического обеспечения полетов осуществляется топогеодезической службой.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Геодезическая привязка позиций наземных станций управления БВС осуществляется силами экипажей (расчетами) БВС совместно со специалистами инженерно-авиационного обеспечения. Определение рабочих областей наземных станций управления БВС выполняют летчики-операторы БВС.";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Изучение с летчиками, штурманами, группой руководства полетами и расчетами пунктов управления данных работы, границ рабочих областей и точностных характеристик средств радиотехнического обеспечения полетов осуществляется после выполнения облета.";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Распоряжения и указания по штурманскому обеспечению полетов отрабатывают главные штурманы органов управления государственной авиации. В указаниях по штурманскому обеспечению полетов отражаются: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и особенности выполнения задач боевой подготовки на учебный год в штурманском отношении;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особенности подготовки летчиков, штурманов и летчиков-операторов БВС к полетам и проведения контроля готовности к ним в штурманском отношении;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особенности штурманской подготовки расчетов пунктов управления (особенности их работы при наведении воздушного судна и при контроле за выполнением полетов);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подготовки руководителей полетов на авиационных полигонах (площадках десантирования);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поддержанию высокого уровня штурманской подготовки летчиков, штурманов, летчиков-операторов БВС, лиц группы руководства полетами и расчетов пунктов управления;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мероприятия по обеспечению безопасности полетов в штурманском отношении;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 по навигационному оборудованию района полетов;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мероприятия по организации обеспечения аэронавигационной информацией;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средств объективного контроля полетов для определения результатов воздушной навигации и боевого применения воздушных судов;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тематика занятий, проводимых старшими штурманами авиационных частей (подразделений) с летчиками, штурманами и летчиками-операторами БВС.";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Полетные карты входят в обязательный комплект полетной документации экипажей воздушных судов (БВС) государственной авиации.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экипаже полетные карты необходимо иметь командиру, помощнику командира (второму пилоту, летчику-штурману), штурману (штурману-оператору), летчику-инструктору (штурману-инструктору), летчику-оператору БВС. Вылет без подготовленной полетной карты не допускается.";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целях обеспечения высокой точности и надежности выхода на заданную цель каждый экипаж и летчики-операторы БВС готовят крупномасштабную карту цели (района разведки, площадки десантирования, зоны разрешения применения оружия).";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период предварительной подготовки к полету экипажи воздушных судов (БВС) выполняют штурманский и инженерно-штурманский расчеты полета, а также разрабатывают штурманский план полета.";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Штурманский план полета разрабатывается старшим штурманом авиационной части при выполнении перелетов, перебазировании, боевого применения и демонстрационных полетов группой воздушных судов составом от звена и выше и каждым экипажем при выполнении полетного задания.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Штурманский план полета отрабатывается на карте и доводится до летчиков, штурманов и летчиков-операторов БВС командиром или старшим штурманом при постановке задачи на полеты.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 разрабатывает штурманский план полета на отдельном листе в виде схемы маршрута или на полетной карте.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штурманском плане полета, в зависимости от рода авиации, навигационной обстановки и полетного задания, отображаются следующие вопросы: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 и последовательность взлета, боевой (полетный) порядок авиационной части (подразделения), способы его построения, выдерживания, роспуска и захода на посадку на основном и запасных аэродромах;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выхода на исходный пункт маршрута и от конечного пункта маршрута на аэродром посадки (в точку начала роспуска боевого порядка);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маршруты и режимы полета экипажей (групп) авиационных частей;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безопасные высоты полета по этапам маршрута;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полета, уравнительные рубежи, рубежи встреч (с истребителями, заправщиками), начала и окончания дозаправки, окончания сопровождения;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алгоритм встречи (с истребителями, заправщиками);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алгоритм выхода на цель (зоны разрешения применения оружия, площадку десантирования), маневр для выхода в заданное время, уход от цели (площадки десантирования);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распределение целей, боевая загрузка воздушного судна, способы и условия боевого применения авиационных средств поражения (десантирования);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алгоритм использования прицельно-навигационного комплекса (прицельно-навигационного оборудования) и средств радиотехнического обеспечения полетов на каждом участке маршрута, при выходе на цель (площадку десантирования) и на аэродром посадки;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рубежи ввода в бой истребителей;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зоны дежурства в воздухе и районы самостоятельного поиска, их обозначение, эшелонирование и маневр воздушного судна в них при поиске и обнаружении цели, порядок выхода в зоны и районы поиска;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наведения на цели;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алгоритм действий пунктов управления и экипажей при целеуказании и перенацеливании;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меры по обеспечению безопасности полетов в штурманском отношении;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меры по восстановлению потерянной ориентировки;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использование средств объективного контроля навигации и боевого применения;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инженерно-штурманский расчет полета;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алгоритм осуществления контроля за расходом топлива.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задания, условий его выполнения, типа воздушного судна и уровня штурманской подготовки летчиков, штурманов и летчиков-операторов БВС в план включаются и другие мероприятия (действия), направленные на успешное выполнение поставленных задач.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Старший штурман авиационной части на основе задач боевой подготовки, стоящих перед частью, с учетом указаний главного штурмана органа управления государственной авиации, а также по результатам изучения и оценки навигационной обстановки готовит и представляет командиру части предложения по штурманскому обеспечению полетов и штурманской подготовке летчиков, штурманов и летчиков-операторов БВС.";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При изучении характера местности в районе полетов раскрываются: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характеристика местности по участкам (равнинная, пересечҰнная, горная, лесная, степная, болотистая, пустынная) и ее превышения над уровнем моря, координаты и высоты искусственных препятствий;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рельефа местности и искусственных препятствий на организацию и выполнение полетов на малых и предельно малых высотах, а также на рабочую область распространения управляющих сигналов БВС и на работу средств радиотехнического обеспечения полетов;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снежного и ледяного покровов, сезонных и паводковых вод и их влияние на изменение конфигурации береговой черты моря, очертания рек и водоемов, на ведение визуальной (телевизионной) и радиолокационной ориентировки при выходе на полигоны (тактические цели) и площадки десантирования (приземления);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ведения визуальной (телевизионной) и радиолокационной ориентировки, использования ориентиров для коррекции прицельно-навигационных комплексов, а также в качестве точек прицеливания при выполнении бомбометания (пуска ракет) по невидимым целям и десантирования;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магнитное склонение и районы магнитных аномалий, их влияние на курсовые системы, особенно при полетах на малых и предельно малых высотах.";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Проверка состояния штурманской подготовки авиационных частей (подразделений) осуществляется: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заслушиванием должностных лиц штурманской службы и пунктов управления авиационных частей (подразделений);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проверкой отработанных документов, справочных данных, расчетов, программ полета, заявок на работу средств радиотехнического обеспечения полетов;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заслушиванием постановки задачи на полеты;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проверкой подготовки к полетам летчиков, штурманов и летчиков-операторов БВС, группы руководства полетами и расчетов пунктов управления в штурманском отношении;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проверкой готовности аэродромов в навигационном отношении и обеспеченности авиационных частей (подразделений) документами аэронавигационной информации;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проведением контроля готовности к полетам частей, подразделений, экипажей воздушных судов (БВС) в штурманском отношении;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проведением контроля за управлением полетами;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проверкой данных наземных и бортовых средств объективного контроля;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проверкой полноты и качества выполнения полетных заданий экипажами воздушных судов.";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Готовность экипажей (летчиков-операторов БВС) к полету в штурманском отношении определяется: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знанием полетного задания и последовательностью его выполнения;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подготовленных полетных и других карт, необходимых экипажу воздушного судна для выполнения полетного задания, инженерно-штурманского расчета полета, документов аэронавигационной информации и установленного штурманского снаряжения;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знанием программы полета, введенной в прицельно-навигационный комплекс;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наличием записей в наколенных планшетах экипажа воздушного судна фронтовой авиации, данных, необходимых для решения задач воздушной навигации и боевого применения, захода на посадку на основной и запасной аэродромы;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знанием навигационной обстановки по маршруту полета и в районе цели (зоны разрешения применения оружия);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знанием особенностей обхода запретных зон и выполнения полета вблизи Государственной границы (приграничной полосы);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знанием особенностей местности, основных ориентиров и средств радиотехнического обеспечения полетов в полосе маршрута, особенностей поиска цели (площадки десантирования) и выхода на нее, безопасных высот полета по участкам маршрута, безопасных условий применения авиационных средств поражения;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знанием мер по обеспечению безопасности полета в штурманском отношении.";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Основными причинами потери ориентировки являются: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неудовлетворительная штурманская подготовка экипажа, а также некачественная подготовка прицельно-навигационного комплекса (прицельно-навигационного оборудования) к полету;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неудовлетворительная организация и управление полетами;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контроля должностными лицами за подготовкой экипажа (летчика) воздушного судна к полету;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недостаточная подготовка и несоблюдение экипажем последовательности выполнения штурманского плана полета;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слабые практические навыки летчиков, штурманов и летчиков-операторов БВС в комплексном использовании бортовых и наземных средств воздушной навигации;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слабые навыки ведения визуальной и радиолокационной ориентировки;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неподготовленность экипажа к полету в усложнившихся условиях;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неисправность или полный отказ навигационного оборудования воздушного судна;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потеря ведущего воздушного судна (группы) при полете строем, когда ведомый экипаж не вел общую ориентировку.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Основными мероприятиями по предотвращению случаев потери ориентировки являются: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постоянное изучение и сдача не менее двух раз в год зачетов летчиками, штурманами и летчиками-операторами БВС по знанию района полетов, средств радиотехнического обеспечения и действий экипажа при потере ориентировки;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регулярное проведение с летчиками, штурманами, летчиками-операторами БВС, группой руководства полетами и расчетами командных пунктов занятий с изучением различных способов восстановления ориентировки, действий при отказах навигационного оборудования и курсовых приборов, по комплексному применению средств воздушной навигации в полете;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состояния навигационного оборудования и ежегодное проведение девиационных и радиодевиационных работ на воздушном судне;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систематичностью и качеством выполнения экипажами полетов по маршрутам;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 с летчиками, штурманами, летчиками-операторами БВС, группой руководства полетами и расчетами командных пунктов случаев потерь ориентировки и уклонения экипажей от маршрутов;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тщательная штурманская подготовка экипажей воздушных судов (БВС) к полету;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использование технических средств навигации в полете и своевременное определение их неисправностей.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Исключение случаев столкновения воздушных судов с земной (водной) поверхностью и препятствиями достигается: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тщательной штурманской подготовкой экипажей воздушных судов (БВС) и прицельно-навигационных комплексов (прицельно-навигационного оборудования) к полету;";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изучением экипажами воздушных судов (БВС), группой руководства полетами и расчетами пунктов управления рельефа местности и его высот, местонахождение и высоты искусственных препятствий;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выдерживанием экипажами воздушных судов (БВС) безопасных высот полета в районе аэродрома и по маршруту и контроль за их выдерживанием со стороны группы руководства полетами и расчетов пунктов управления;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соблюдением экипажами воздушных судов (БВС) правил изменения высоты полета и пробивания облачности в соответствии с Правилами производства полетов государственной авиации;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четким исполнением всеми членами экипажа воздушного судна (БВС) своих функциональных обязанностей и своевременным выполнением команд руководителя полетов;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умением экипажа, в зависимости от скорости и угла пикирования воздушного судна, определять момент начала вывода из пикирования;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соблюдением мер по обеспечению безопасности при полетах на малых и предельно-малых высотах;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знанием группой руководства полетами и расчетами пунктов управления особенностей навигации и боевого применения воздушного судна, управления и контроля за полетами на малых и предельно малых высотах;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умением экипажа воздушного судна (БВС), группы руководства полетами и расчета пункта управления быстро реагировать на изменение воздушной, метеорологической и орнитологической обстановки;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строгим соблюдением экипажем воздушного судна правил полетов в условиях горной местности и учетом особенностей использования барометрических высотомеров при посадке на высокогорные аэродромы в соответствии с Правилами производства полетов государственной авиации.";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Основными мероприятиями, направленными на исключение случаев полной выработки топлива в полете являются: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регулярное проведение комплексных тренажей с летчиками, штурманами, летчиками-операторами БВС, группой руководства полетами и расчетами пунктов управления по расчету (контролю) расходования топлива в полете;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летчиков, штурманов, летчиков-операторов БВС, группы руководства полетами и расчетов пунктов управления познанию исходных данных и методики определения возможностей воздушных судов по досягаемости и времени дежурства в воздухе;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правильности расчетов минимальных остатков топлива, потребных для выполнения полета и посадки на запасной аэродром.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Предотвращение случаев опасного сближения и столкновения воздушных судов в воздухе достигается: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экипажами (летчиками-операторами БВС) вертикального, бокового и продольного эшелонирования, а также выдерживанием заданных режимов полета;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контролем за выдерживанием режима полета со стороны группы руководства полетами и расчетов пунктов управления.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целях исключения случаев опасного сближения и столкновения воздушных судов в воздухе летчики, штурманы, летчики-операторы БВС, группа руководства полетами и расчеты пунктов управления не реже двух раз в год проверяются на знание правил эшелонирования и выполнения групповых полетов в соответствии с Правилами производства полетов государственной авиации.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Предотвращение случаев попадания воздушного судна в опасные и запретные зоны достигается: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строгим соблюдением экипажами воздушных судов (БВС) установленных правил полетов вблизи государственной границы, опасных и запретных зон в соответствии с Правилами производства полетов государственной авиации и выдерживанием программы и плана полета;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надежным управлением воздушным движением;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комплексным применением экипажами воздушных судов (БВС) средств и способов воздушной навигации;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обозначением на полетных картах, индикаторах радиолокационных станций и планшетах воздушной обстановки векторов ограничительных пеленгов, линий прохождения Государственной границы и приграничной полосы, запретных зон и рубежей минимально допустимого приближения воздушного судна к ним с учетом маневра при отвороте от государственной границы;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изучением расположения средств радиотехнического обеспечения полетов и уточнением данных их работы;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тщательной прокладкой и изучением маршрута полета, характерных визуальных и радиолокационных ориентиров, уточнением рубежей передачи управления;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контролем за работоспособностью прицельно-навигационного комплекса (прицельно-навигационного оборудования), правильностью ввода программ полета, своевременной коррекцией координат местоположения воздушного судна.";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Исключение случаев попадания воздушного судна в зону поражения своих авиационных средств поражения достигается: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изучением экипажами воздушных судов (БВС) условий и порядка выполнения полетного задания, аэронавигационного паспорта авиационного полигона (зоны применения оружия), мер безопасности при стрельбе, бомбометании и пуске ракет, предусмотренных руководством по летной эксплуатации и методическими пособиями по боевому применению воздушного судна;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знанием эксплуатационных ограничений воздушного судна и авиационных средств поражения, параметров безопасного режима применения авиационных средств поражения (безопасные высоты, скорости, дальности применения, глубины групп, дистанции между группами, а также заданные условия полета), последовательности работы с системами управления вооружением воздушных судов и действий при их отказе.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Предотвращение случаев применения авиационных средств поражения не по заданным целям (вне полигона), десантирования войск и техники вне заданных площадок и ударов по своим войскам достигается: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детальным изучением экипажами воздушных судов (БВС) аэронавигационного паспорта авиационного полигона (района цели, зоны разрешения применения оружия, площадки десантирования), отличительных и демаскирующих признаков цели, знанием точных координат;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максимальным использованием возможностей прицельно-навигационного комплекса (прицельно-навигационного оборудования), систем управления вооружением (десантированием);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выбором наиболее рационального способа коррекции прицельно-навигационного комплекса, проверкой правильности коррекции (показаний) по данным дублирующих средств;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правильным расчетом установочных данных, вводом (контролем ввода) их в прицельно-навигационный комплекс (прицельно-навигационное оборудование) перед выходом на боевой курс;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выбором надежной точки прицеливания и правильным прицеливанием по ней;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надежным опознаванием цели (площадки десантирования) по нескольким признакам, особенно в случаях перенацеливания;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знанием способов целеуказания и сигналов перенацеливания, средств обозначения (опознавания) своих войск и порядок их использования;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выполнением требований и команд руководителя полетов на полигоне (площадке десантирования);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соблюдением экипажами воздушных судов (БВС) мер безопасности при применении авиационных средств поражения в непосредственной близости от служебной зоны полигона (своих войск), полностью исключающие их поражение.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сомнении экипажа (летчика-оператора БВС) в выходе воздушного судна на заданную цель (площадку десантирования) применение авиационных средств поражения (десантирование) не допускается.".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4" w:id="1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5" w:id="1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6" w:id="1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