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d48b" w14:textId="022d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14 декабря 2016 года № 595 "Об утверждении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апреля 2024 года № 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декабря 2016 года № 595 "Об утверждении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Казахстан" (зарегистрирован в Реестре государственной регистрации нормативных правовых актов под № 14722)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Казахстан, утвержденных указанным приказом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Нормативы численности разработаны на основе следующих документов: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деятельности, утвержденные приказом Министра здравоохранения и социального развития Республики Казахстан от 28 декабря 2015 года № 1036 (зарегистрирован в Реестре государственной регистрации нормативных правовых актов под № 12736);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методические рекомендации по установлению норм и нормативов для нормирования труда рабочих, утвержденные приказом Министра труда и социальной защиты населения Республики Казахстан от 22 декабря 2008 года № 310-п;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методические рекомендации по проведению хронометражных работ в организациях, утвержденные приказом Министра труда и социальной защиты населения Республики Казахстан от 19 октября 2010 года № 344/1-п;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материалы изучения организационно-технических условий выполнения работ и организации труда работников;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количественные значения факторов (норм времени на ту или иную работу), влияющих на численность работников БПК;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хронометражные наблюдения, данные БПК о фактической численности рабочих и объемах выполняемых работ;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методические рекомендации научно-исследовательского института труда по разработке нормативных материалов по труду.".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тылу и военной инфраструктуре.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