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9f1b" w14:textId="5329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декабря 2024 года № С-17/3.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2 943 158,0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1 458 312,0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1 445 332,0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2 943 158,0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6 214,0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выданных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денег от проведения государственных закупок, организуемых государственными учреждениями, финансируемыми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 объем субвенции в сумме 742 117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предусмотрено погашение бюджетных кредитов в республиканский бюджет в сумме 9 514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поступлений районного бюджета на 2025 год предусмотрены целевые трансферты и бюджетные кредиты из республиканского бюджета согласно приложению 4.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поступлений районного бюджета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 Биржан сал.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2025 год в сумме 29 900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2025 год предусмотрены объемы субвенций, передаваемых из районного бюджета бюджетам города, сельских округов и сел, в сумме 512 882 тысяч тенге, в том числе: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Аксу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 тысяч тенге.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районного бюджета предусмотрены целевые трансферты бюджетам города, сельских округов и сел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 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жилого дома города Степняк район Биржан сал, по улице Биржан сал позиция 2.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благоустройство и инженерные сети к двум 21 квартирных жилых домов города Степняк по улице Биржан сал к позициям 1 и 2.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Ангал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Кудукагаш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орагнизацию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