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0559" w14:textId="9750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Актюбинского областного маслихата от 24 февраля 2021 года № 16 "Об утверждении Правил выпаса сельскохозяйственных животных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сентября 2024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утверждении Правил выпаса сельскохозяйственных животных по Актюбинской области" от 24 февраля 2021 года № 16 (зарегистрировано в Реестре государственной регистрации нормативных правовых актов № 8075)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выпаса сельскохозяйственных животных по Актюбинской области,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поголовья сельскохозяйственных животных личного подворья;".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"Выпас сельскохозяйственных животных на пастбищах осуществляется в соответствии с Планами.".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реализацию Плана и представляют ежегодный отчет о ходе его реализации органу местного самоуправления (сходу местного сообщества);".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