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e93a" w14:textId="fc4e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Хромтауского районного маслихата от 30 декабря 2021 года № 177 "Об утверждении Правил проведения раздельных сходов местного сообщества в Хромтауском районе"</w:t>
      </w:r>
    </w:p>
    <w:p>
      <w:pPr>
        <w:spacing w:after="0"/>
        <w:ind w:left="0"/>
        <w:jc w:val="both"/>
      </w:pPr>
      <w:r>
        <w:rPr>
          <w:rFonts w:ascii="Times New Roman"/>
          <w:b w:val="false"/>
          <w:i w:val="false"/>
          <w:color w:val="000000"/>
          <w:sz w:val="28"/>
        </w:rPr>
        <w:t>Решение Хромтауского районного маслихата Актюбинской области от 15 апреля 2024 года № 179</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№122 "Об утверждении Типовых правил проведения раздельных сходов местного сообщества" (зарегистрировано в Реестре государственной регистрации нормативных правовых актов под №32894), Хромтауский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Хромтауского районного маслихата "Об утверждении Правил проведения раздельных сходов местного сообщества в Хромтауском районе" от 30 декабря 2021 года №177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в Хромтауском районе, утвержденной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Хромтауского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Болатов Э. 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Хромтауского районного маслихата от 15 апреля 2024 года № 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Хромтауского районного маслихата от 30 декабря 2021 года № 177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в Хромтауском районе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города районного значения, села, сельского округа на территории Хромтауского района.</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сельского округа, микрорайона,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left"/>
      </w:pPr>
      <w:r>
        <w:rPr>
          <w:rFonts w:ascii="Times New Roman"/>
          <w:b/>
          <w:i w:val="false"/>
          <w:color w:val="000000"/>
        </w:rPr>
        <w:t xml:space="preserve">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сельского округа подразделяется на участки (села, микрорайоны, улицы, многоквартирные жилые дома).</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Акимом города районного значения, села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сельского округа не позднее чем за десять календарных дней до дня его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и сельского округа для регистрации.</w:t>
      </w:r>
    </w:p>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