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f6d7" w14:textId="df8f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1 апреля 2024 года № 173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образования" изложить в следующей редакции: </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3"/>
          <w:p>
            <w:pPr>
              <w:spacing w:after="20"/>
              <w:ind w:left="20"/>
              <w:jc w:val="both"/>
            </w:pPr>
            <w:r>
              <w:rPr>
                <w:rFonts w:ascii="Times New Roman"/>
                <w:b w:val="false"/>
                <w:i w:val="false"/>
                <w:color w:val="000000"/>
                <w:sz w:val="20"/>
              </w:rPr>
              <w:t>
651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1"/>
          <w:p>
            <w:pPr>
              <w:spacing w:after="20"/>
              <w:ind w:left="20"/>
              <w:jc w:val="both"/>
            </w:pPr>
            <w:r>
              <w:rPr>
                <w:rFonts w:ascii="Times New Roman"/>
                <w:b w:val="false"/>
                <w:i w:val="false"/>
                <w:color w:val="000000"/>
                <w:sz w:val="20"/>
              </w:rPr>
              <w:t>
651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1"/>
          <w:p>
            <w:pPr>
              <w:spacing w:after="20"/>
              <w:ind w:left="20"/>
              <w:jc w:val="both"/>
            </w:pPr>
            <w:r>
              <w:rPr>
                <w:rFonts w:ascii="Times New Roman"/>
                <w:b w:val="false"/>
                <w:i w:val="false"/>
                <w:color w:val="000000"/>
                <w:sz w:val="20"/>
              </w:rPr>
              <w:t>
227</w:t>
            </w:r>
          </w:p>
          <w:bookmarkEnd w:id="81"/>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4"/>
          <w:p>
            <w:pPr>
              <w:spacing w:after="20"/>
              <w:ind w:left="20"/>
              <w:jc w:val="both"/>
            </w:pPr>
            <w:r>
              <w:rPr>
                <w:rFonts w:ascii="Times New Roman"/>
                <w:b w:val="false"/>
                <w:i w:val="false"/>
                <w:color w:val="000000"/>
                <w:sz w:val="20"/>
              </w:rPr>
              <w:t>
РБ</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5"/>
          <w:p>
            <w:pPr>
              <w:spacing w:after="20"/>
              <w:ind w:left="20"/>
              <w:jc w:val="both"/>
            </w:pPr>
            <w:r>
              <w:rPr>
                <w:rFonts w:ascii="Times New Roman"/>
                <w:b w:val="false"/>
                <w:i w:val="false"/>
                <w:color w:val="000000"/>
                <w:sz w:val="20"/>
              </w:rPr>
              <w:t>
01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6"/>
          <w:p>
            <w:pPr>
              <w:spacing w:after="20"/>
              <w:ind w:left="20"/>
              <w:jc w:val="both"/>
            </w:pPr>
            <w:r>
              <w:rPr>
                <w:rFonts w:ascii="Times New Roman"/>
                <w:b w:val="false"/>
                <w:i w:val="false"/>
                <w:color w:val="000000"/>
                <w:sz w:val="20"/>
              </w:rPr>
              <w:t>
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7"/>
          <w:p>
            <w:pPr>
              <w:spacing w:after="20"/>
              <w:ind w:left="20"/>
              <w:jc w:val="both"/>
            </w:pPr>
            <w:r>
              <w:rPr>
                <w:rFonts w:ascii="Times New Roman"/>
                <w:b w:val="false"/>
                <w:i w:val="false"/>
                <w:color w:val="000000"/>
                <w:sz w:val="20"/>
              </w:rPr>
              <w:t>
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8"/>
          <w:p>
            <w:pPr>
              <w:spacing w:after="20"/>
              <w:ind w:left="20"/>
              <w:jc w:val="both"/>
            </w:pPr>
            <w:r>
              <w:rPr>
                <w:rFonts w:ascii="Times New Roman"/>
                <w:b w:val="false"/>
                <w:i w:val="false"/>
                <w:color w:val="000000"/>
                <w:sz w:val="20"/>
              </w:rPr>
              <w:t>
217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0"/>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2092" w:id="91"/>
    <w:p>
      <w:pPr>
        <w:spacing w:after="0"/>
        <w:ind w:left="0"/>
        <w:jc w:val="both"/>
      </w:pPr>
      <w:r>
        <w:rPr>
          <w:rFonts w:ascii="Times New Roman"/>
          <w:b w:val="false"/>
          <w:i w:val="false"/>
          <w:color w:val="000000"/>
          <w:sz w:val="28"/>
        </w:rPr>
        <w:t>
      ".</w:t>
      </w:r>
    </w:p>
    <w:bookmarkEnd w:id="91"/>
    <w:bookmarkStart w:name="z2093" w:id="9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92"/>
    <w:bookmarkStart w:name="z2094" w:id="9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3"/>
    <w:bookmarkStart w:name="z2095" w:id="9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4"/>
    <w:bookmarkStart w:name="z2096" w:id="9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