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939" w14:textId="e3bd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закуп сельскохозяйственной продукции для производства продуктов еҰ глубокой переработки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11 апреля 2024 года № 73.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12-7)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(зарегистрирован в Реестре государственной регистрации нормативных правовых актов за № 10087),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закуп сельскохозяйственной продукции для производства продуктов ее глубокой переработки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закуп сельскохозяйственной продукции для производства продуктов ее глубокой переработки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тенге/л и тенге/кг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