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faa6" w14:textId="724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2025–2027 годы",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358 639 121,0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13 248 478,0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3 084 173,0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342 306 470,0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357 797 196,0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5 677 612,0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10 219 382,0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4 541 770,0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-4 835 687,0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4 835 687,0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9 888 632,0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5 052 945,0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60 процентов, индивидуальному подоходному налогу с доходов, облагаемых у источника выплаты – 62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города Курчатов по социальному налогу – 95 процентов, индивидуальному подоходному налогу с доходов, облагаемых у источника выплаты – 94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Жарминского района по отчислениям недропользователей на социально-экономическое развитие региона и развитие его инфраструктуры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отчислениям недропользователей на социально-экономическое развитие региона и развитие его инфраструктуры в размере 0 процентов.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2025 год в сумме 321 324,0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лимит долга местного исполнительного органа области на 2025 год в размере 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изъятий из бюджетов районов (городов областного значения) в областной бюджет в сумме 42 455 869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24 343 274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1 222 922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10 001 975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758 624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6 129 074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областного бюджета в бюджеты районов (городов областного значения), в сумме 5 466 889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1 113 029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989 379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1 080 780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1 460 879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822 822 тысяч тенге.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2025 год определяется постановлением акимата области Абай.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"Ауыл–Ел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2025 год определяется постановлением акимата области Абай.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целевые текущие трансферты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2025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358 639 121,0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13 248 478,0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342 306 470,0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357 797 196,0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12 838 148,0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16 725 308,0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133 215 478,0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116 037 380,0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77 341 810,0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29 621 846,0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13 476 869,0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30 610 272,0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14 997 991,0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14 997 991,0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14 958 318,0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36 838 720,0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10 962 090,0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-4 835 687,0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311 962 868,0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162 945 397,0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117 756 174,0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-10 180 552,0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16 710 693,0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294 308 771,0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311 951 610,0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165 502 597,0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бюджетной программы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