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3f50" w14:textId="aa33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Кумколскому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15/8-VIII</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Кумколскому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Start w:name="z7"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№15/8-VIII</w:t>
            </w:r>
          </w:p>
        </w:tc>
      </w:tr>
    </w:tbl>
    <w:bookmarkStart w:name="z10" w:id="1"/>
    <w:p>
      <w:pPr>
        <w:spacing w:after="0"/>
        <w:ind w:left="0"/>
        <w:jc w:val="left"/>
      </w:pPr>
      <w:r>
        <w:rPr>
          <w:rFonts w:ascii="Times New Roman"/>
          <w:b/>
          <w:i w:val="false"/>
          <w:color w:val="000000"/>
        </w:rPr>
        <w:t xml:space="preserve"> План по управлению пастбищами и их использованию по Кумкольскому сельскому округу Аксутского района на 2024-2025 годы</w:t>
      </w:r>
    </w:p>
    <w:bookmarkEnd w:id="1"/>
    <w:p>
      <w:pPr>
        <w:spacing w:after="0"/>
        <w:ind w:left="0"/>
        <w:jc w:val="left"/>
      </w:pPr>
    </w:p>
    <w:p>
      <w:pPr>
        <w:spacing w:after="0"/>
        <w:ind w:left="0"/>
        <w:jc w:val="both"/>
      </w:pPr>
      <w:r>
        <w:rPr>
          <w:rFonts w:ascii="Times New Roman"/>
          <w:b w:val="false"/>
          <w:i w:val="false"/>
          <w:color w:val="000000"/>
          <w:sz w:val="28"/>
        </w:rPr>
        <w:t>
      Настоящий План по управлению пастбищами и их использованию по Кумкольскому сельскому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Start w:name="z12" w:id="2"/>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2"/>
    <w:bookmarkStart w:name="z13" w:id="3"/>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3"/>
    <w:bookmarkStart w:name="z14" w:id="4"/>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4"/>
    <w:bookmarkStart w:name="z15" w:id="5"/>
    <w:p>
      <w:pPr>
        <w:spacing w:after="0"/>
        <w:ind w:left="0"/>
        <w:jc w:val="both"/>
      </w:pPr>
      <w:r>
        <w:rPr>
          <w:rFonts w:ascii="Times New Roman"/>
          <w:b w:val="false"/>
          <w:i w:val="false"/>
          <w:color w:val="000000"/>
          <w:sz w:val="28"/>
        </w:rPr>
        <w:t>
      План содержит: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Приемлемые схемы пастбище 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Схему доступа пастбище 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23" w:id="6"/>
    <w:p>
      <w:pPr>
        <w:spacing w:after="0"/>
        <w:ind w:left="0"/>
        <w:jc w:val="both"/>
      </w:pPr>
      <w:r>
        <w:rPr>
          <w:rFonts w:ascii="Times New Roman"/>
          <w:b w:val="false"/>
          <w:i w:val="false"/>
          <w:color w:val="000000"/>
          <w:sz w:val="28"/>
        </w:rPr>
        <w:t>
      Общая площадь территорий Кумкольского сельского округа Аксуатского района 121446 га, из них пастбищные земли 100633 га, орошаемые земли – 3491 га, сенокосные земли – 5834 гектар.</w:t>
      </w:r>
    </w:p>
    <w:bookmarkEnd w:id="6"/>
    <w:bookmarkStart w:name="z24" w:id="7"/>
    <w:p>
      <w:pPr>
        <w:spacing w:after="0"/>
        <w:ind w:left="0"/>
        <w:jc w:val="both"/>
      </w:pPr>
      <w:r>
        <w:rPr>
          <w:rFonts w:ascii="Times New Roman"/>
          <w:b w:val="false"/>
          <w:i w:val="false"/>
          <w:color w:val="000000"/>
          <w:sz w:val="28"/>
        </w:rPr>
        <w:t>
      По категориям земли подразделяются на:</w:t>
      </w:r>
    </w:p>
    <w:bookmarkEnd w:id="7"/>
    <w:bookmarkStart w:name="z25" w:id="8"/>
    <w:p>
      <w:pPr>
        <w:spacing w:after="0"/>
        <w:ind w:left="0"/>
        <w:jc w:val="both"/>
      </w:pPr>
      <w:r>
        <w:rPr>
          <w:rFonts w:ascii="Times New Roman"/>
          <w:b w:val="false"/>
          <w:i w:val="false"/>
          <w:color w:val="000000"/>
          <w:sz w:val="28"/>
        </w:rPr>
        <w:t>
      Земли сельскохозяйственного назначения – 109958,7 га;</w:t>
      </w:r>
    </w:p>
    <w:bookmarkEnd w:id="8"/>
    <w:bookmarkStart w:name="z26" w:id="9"/>
    <w:p>
      <w:pPr>
        <w:spacing w:after="0"/>
        <w:ind w:left="0"/>
        <w:jc w:val="both"/>
      </w:pPr>
      <w:r>
        <w:rPr>
          <w:rFonts w:ascii="Times New Roman"/>
          <w:b w:val="false"/>
          <w:i w:val="false"/>
          <w:color w:val="000000"/>
          <w:sz w:val="28"/>
        </w:rPr>
        <w:t>
      Земли населенных пунктов – 11487,3 га;</w:t>
      </w:r>
    </w:p>
    <w:bookmarkEnd w:id="9"/>
    <w:bookmarkStart w:name="z27" w:id="10"/>
    <w:p>
      <w:pPr>
        <w:spacing w:after="0"/>
        <w:ind w:left="0"/>
        <w:jc w:val="both"/>
      </w:pPr>
      <w:r>
        <w:rPr>
          <w:rFonts w:ascii="Times New Roman"/>
          <w:b w:val="false"/>
          <w:i w:val="false"/>
          <w:color w:val="000000"/>
          <w:sz w:val="28"/>
        </w:rPr>
        <w:t>
      В районе действуют 1 ветеринарных пунктов, 1 убойных площадок, 1 скотомогильников.</w:t>
      </w:r>
    </w:p>
    <w:bookmarkEnd w:id="10"/>
    <w:bookmarkStart w:name="z28" w:id="1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11"/>
    <w:bookmarkStart w:name="z29" w:id="12"/>
    <w:p>
      <w:pPr>
        <w:spacing w:after="0"/>
        <w:ind w:left="0"/>
        <w:jc w:val="both"/>
      </w:pPr>
      <w:r>
        <w:rPr>
          <w:rFonts w:ascii="Times New Roman"/>
          <w:b w:val="false"/>
          <w:i w:val="false"/>
          <w:color w:val="000000"/>
          <w:sz w:val="28"/>
        </w:rPr>
        <w:t>
      Кумкольский сельский округ расположен в центральной части Тарбагатайского района, его площадь 123,0 тысяч га, что составляет 5,2% от площади района.</w:t>
      </w:r>
    </w:p>
    <w:bookmarkEnd w:id="12"/>
    <w:bookmarkStart w:name="z30" w:id="13"/>
    <w:p>
      <w:pPr>
        <w:spacing w:after="0"/>
        <w:ind w:left="0"/>
        <w:jc w:val="both"/>
      </w:pPr>
      <w:r>
        <w:rPr>
          <w:rFonts w:ascii="Times New Roman"/>
          <w:b w:val="false"/>
          <w:i w:val="false"/>
          <w:color w:val="000000"/>
          <w:sz w:val="28"/>
        </w:rPr>
        <w:t>
      На западе и севере сельский округ граничит с землями Екпинского сельского округа, на юге граничит с землями Ойшиликского сельского округа, на востоке граничит с землями Карасуйского сельского округа.</w:t>
      </w:r>
    </w:p>
    <w:bookmarkEnd w:id="13"/>
    <w:bookmarkStart w:name="z31" w:id="14"/>
    <w:p>
      <w:pPr>
        <w:spacing w:after="0"/>
        <w:ind w:left="0"/>
        <w:jc w:val="both"/>
      </w:pPr>
      <w:r>
        <w:rPr>
          <w:rFonts w:ascii="Times New Roman"/>
          <w:b w:val="false"/>
          <w:i w:val="false"/>
          <w:color w:val="000000"/>
          <w:sz w:val="28"/>
        </w:rPr>
        <w:t>
      Центром сельского округа является село Кумкол расположенное в 26км от районного центра с. Аксуат.</w:t>
      </w:r>
    </w:p>
    <w:bookmarkEnd w:id="14"/>
    <w:bookmarkStart w:name="z32" w:id="15"/>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4 сельских населенных пункта: - с.Кумкол, а. Каргыба, с.Кызыл Жулдыз, с.Кокбастау.</w:t>
      </w:r>
    </w:p>
    <w:bookmarkEnd w:id="15"/>
    <w:bookmarkStart w:name="z33" w:id="16"/>
    <w:p>
      <w:pPr>
        <w:spacing w:after="0"/>
        <w:ind w:left="0"/>
        <w:jc w:val="both"/>
      </w:pPr>
      <w:r>
        <w:rPr>
          <w:rFonts w:ascii="Times New Roman"/>
          <w:b w:val="false"/>
          <w:i w:val="false"/>
          <w:color w:val="000000"/>
          <w:sz w:val="28"/>
        </w:rPr>
        <w:t>
      Транспортная связь с райцентром осуществляется по автодороге местного значения Аксуат – Кумкол.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16"/>
    <w:bookmarkStart w:name="z34" w:id="17"/>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3683 головы крупного рогатого скота, 1665 голов лошадей, 7236 голов овец и коз.</w:t>
      </w:r>
    </w:p>
    <w:bookmarkEnd w:id="17"/>
    <w:bookmarkStart w:name="z35" w:id="1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18"/>
    <w:bookmarkStart w:name="z36" w:id="1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19"/>
    <w:bookmarkStart w:name="z37" w:id="2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ее высота до 10-30 см. Урожайность сухой растительной массы 1- 4ц/га.</w:t>
      </w:r>
    </w:p>
    <w:bookmarkEnd w:id="20"/>
    <w:bookmarkStart w:name="z38" w:id="21"/>
    <w:p>
      <w:pPr>
        <w:spacing w:after="0"/>
        <w:ind w:left="0"/>
        <w:jc w:val="left"/>
      </w:pPr>
      <w:r>
        <w:rPr>
          <w:rFonts w:ascii="Times New Roman"/>
          <w:b/>
          <w:i w:val="false"/>
          <w:color w:val="000000"/>
        </w:rPr>
        <w:t xml:space="preserve"> ОРГАНИЗАЦИЯ ТЕРРИТОРИИ ПАСТБИЩ</w:t>
      </w:r>
    </w:p>
    <w:bookmarkEnd w:id="21"/>
    <w:bookmarkStart w:name="z39" w:id="2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22"/>
    <w:bookmarkStart w:name="z40" w:id="23"/>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23"/>
    <w:bookmarkStart w:name="z41" w:id="24"/>
    <w:p>
      <w:pPr>
        <w:spacing w:after="0"/>
        <w:ind w:left="0"/>
        <w:jc w:val="both"/>
      </w:pPr>
      <w:r>
        <w:rPr>
          <w:rFonts w:ascii="Times New Roman"/>
          <w:b w:val="false"/>
          <w:i w:val="false"/>
          <w:color w:val="000000"/>
          <w:sz w:val="28"/>
        </w:rPr>
        <w:t>
      Пастбищеоборот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24"/>
    <w:bookmarkStart w:name="z42" w:id="25"/>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25"/>
    <w:bookmarkStart w:name="z43" w:id="2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26"/>
    <w:bookmarkStart w:name="z44" w:id="2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27"/>
    <w:bookmarkStart w:name="z45" w:id="28"/>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28"/>
    <w:bookmarkStart w:name="z46" w:id="29"/>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29"/>
    <w:bookmarkStart w:name="z47" w:id="3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30"/>
    <w:bookmarkStart w:name="z48" w:id="31"/>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31"/>
    <w:bookmarkStart w:name="z49" w:id="32"/>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32"/>
    <w:bookmarkStart w:name="z50" w:id="33"/>
    <w:p>
      <w:pPr>
        <w:spacing w:after="0"/>
        <w:ind w:left="0"/>
        <w:jc w:val="both"/>
      </w:pPr>
      <w:r>
        <w:rPr>
          <w:rFonts w:ascii="Times New Roman"/>
          <w:b w:val="false"/>
          <w:i w:val="false"/>
          <w:color w:val="000000"/>
          <w:sz w:val="28"/>
        </w:rPr>
        <w:t xml:space="preserve">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w:t>
      </w:r>
    </w:p>
    <w:bookmarkEnd w:id="33"/>
    <w:bookmarkStart w:name="z51" w:id="34"/>
    <w:p>
      <w:pPr>
        <w:spacing w:after="0"/>
        <w:ind w:left="0"/>
        <w:jc w:val="both"/>
      </w:pPr>
      <w:r>
        <w:rPr>
          <w:rFonts w:ascii="Times New Roman"/>
          <w:b w:val="false"/>
          <w:i w:val="false"/>
          <w:color w:val="000000"/>
          <w:sz w:val="28"/>
        </w:rPr>
        <w:t>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34"/>
    <w:bookmarkStart w:name="z52" w:id="3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35"/>
    <w:bookmarkStart w:name="z53" w:id="3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1665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36"/>
    <w:bookmarkStart w:name="z54" w:id="3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7236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37"/>
    <w:bookmarkStart w:name="z55" w:id="3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294605</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147320</w:t>
            </w:r>
          </w:p>
          <w:p>
            <w:pPr>
              <w:spacing w:after="20"/>
              <w:ind w:left="20"/>
              <w:jc w:val="both"/>
            </w:pPr>
            <w:r>
              <w:rPr>
                <w:rFonts w:ascii="Times New Roman"/>
                <w:b w:val="false"/>
                <w:i w:val="false"/>
                <w:color w:val="000000"/>
                <w:sz w:val="20"/>
              </w:rPr>
              <w:t>
</w:t>
            </w:r>
            <w:r>
              <w:rPr>
                <w:rFonts w:ascii="Times New Roman"/>
                <w:b w:val="false"/>
                <w:i w:val="false"/>
                <w:color w:val="000000"/>
                <w:sz w:val="20"/>
              </w:rPr>
              <w:t>72360</w:t>
            </w:r>
          </w:p>
          <w:p>
            <w:pPr>
              <w:spacing w:after="20"/>
              <w:ind w:left="20"/>
              <w:jc w:val="both"/>
            </w:pPr>
            <w:r>
              <w:rPr>
                <w:rFonts w:ascii="Times New Roman"/>
                <w:b w:val="false"/>
                <w:i w:val="false"/>
                <w:color w:val="000000"/>
                <w:sz w:val="20"/>
              </w:rPr>
              <w:t>
74925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bl>
    <w:bookmarkStart w:name="z68" w:id="43"/>
    <w:p>
      <w:pPr>
        <w:spacing w:after="0"/>
        <w:ind w:left="0"/>
        <w:jc w:val="left"/>
      </w:pPr>
      <w:r>
        <w:rPr>
          <w:rFonts w:ascii="Times New Roman"/>
          <w:b/>
          <w:i w:val="false"/>
          <w:color w:val="000000"/>
        </w:rPr>
        <w:t xml:space="preserve"> Обеспеченность пастбищами скота по сельскому округу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19641,0</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9821,7</w:t>
            </w:r>
          </w:p>
          <w:p>
            <w:pPr>
              <w:spacing w:after="20"/>
              <w:ind w:left="20"/>
              <w:jc w:val="both"/>
            </w:pPr>
            <w:r>
              <w:rPr>
                <w:rFonts w:ascii="Times New Roman"/>
                <w:b w:val="false"/>
                <w:i w:val="false"/>
                <w:color w:val="000000"/>
                <w:sz w:val="20"/>
              </w:rPr>
              <w:t>
</w:t>
            </w:r>
            <w:r>
              <w:rPr>
                <w:rFonts w:ascii="Times New Roman"/>
                <w:b w:val="false"/>
                <w:i w:val="false"/>
                <w:color w:val="000000"/>
                <w:sz w:val="20"/>
              </w:rPr>
              <w:t>4824</w:t>
            </w:r>
          </w:p>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- 8153,7</w:t>
            </w:r>
          </w:p>
        </w:tc>
      </w:tr>
    </w:tbl>
    <w:bookmarkStart w:name="z78" w:id="47"/>
    <w:p>
      <w:pPr>
        <w:spacing w:after="0"/>
        <w:ind w:left="0"/>
        <w:jc w:val="left"/>
      </w:pPr>
      <w:r>
        <w:rPr>
          <w:rFonts w:ascii="Times New Roman"/>
          <w:b/>
          <w:i w:val="false"/>
          <w:color w:val="000000"/>
        </w:rPr>
        <w:t xml:space="preserve"> Территория с особым режимом использования земель</w:t>
      </w:r>
    </w:p>
    <w:bookmarkEnd w:id="47"/>
    <w:bookmarkStart w:name="z79" w:id="48"/>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Республика Казахстан в пределах водоохраной полосы запрещается:</w:t>
      </w:r>
    </w:p>
    <w:bookmarkStart w:name="z81" w:id="49"/>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49"/>
    <w:bookmarkStart w:name="z82" w:id="50"/>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50"/>
    <w:bookmarkStart w:name="z83" w:id="51"/>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51"/>
    <w:bookmarkStart w:name="z84" w:id="52"/>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52"/>
    <w:bookmarkStart w:name="z85" w:id="53"/>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53"/>
    <w:bookmarkStart w:name="z86" w:id="54"/>
    <w:p>
      <w:pPr>
        <w:spacing w:after="0"/>
        <w:ind w:left="0"/>
        <w:jc w:val="both"/>
      </w:pPr>
      <w:r>
        <w:rPr>
          <w:rFonts w:ascii="Times New Roman"/>
          <w:b w:val="false"/>
          <w:i w:val="false"/>
          <w:color w:val="000000"/>
          <w:sz w:val="28"/>
        </w:rPr>
        <w:t>
      - применение всех видов удобрений.</w:t>
      </w:r>
    </w:p>
    <w:bookmarkEnd w:id="54"/>
    <w:bookmarkStart w:name="z87" w:id="55"/>
    <w:p>
      <w:pPr>
        <w:spacing w:after="0"/>
        <w:ind w:left="0"/>
        <w:jc w:val="both"/>
      </w:pPr>
      <w:r>
        <w:rPr>
          <w:rFonts w:ascii="Times New Roman"/>
          <w:b w:val="false"/>
          <w:i w:val="false"/>
          <w:color w:val="000000"/>
          <w:sz w:val="28"/>
        </w:rPr>
        <w:t>
      в пределах водоохранных зон запрещается:</w:t>
      </w:r>
    </w:p>
    <w:bookmarkEnd w:id="55"/>
    <w:bookmarkStart w:name="z88" w:id="56"/>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56"/>
    <w:bookmarkStart w:name="z89" w:id="57"/>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57"/>
    <w:bookmarkStart w:name="z90" w:id="58"/>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58"/>
    <w:bookmarkStart w:name="z91" w:id="59"/>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59"/>
    <w:bookmarkStart w:name="z92" w:id="60"/>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60"/>
    <w:bookmarkStart w:name="z93" w:id="61"/>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61"/>
    <w:bookmarkStart w:name="z94" w:id="62"/>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62"/>
    <w:bookmarkStart w:name="z95" w:id="63"/>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6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97" w:id="64"/>
    <w:p>
      <w:pPr>
        <w:spacing w:after="0"/>
        <w:ind w:left="0"/>
        <w:jc w:val="left"/>
      </w:pPr>
      <w:r>
        <w:rPr>
          <w:rFonts w:ascii="Times New Roman"/>
          <w:b/>
          <w:i w:val="false"/>
          <w:color w:val="000000"/>
        </w:rPr>
        <w:t xml:space="preserve"> Схема (карта) расположения пастбищ на территории Кумкольский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64"/>
    <w:bookmarkStart w:name="z98"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00" w:id="66"/>
    <w:p>
      <w:pPr>
        <w:spacing w:after="0"/>
        <w:ind w:left="0"/>
        <w:jc w:val="left"/>
      </w:pPr>
      <w:r>
        <w:rPr>
          <w:rFonts w:ascii="Times New Roman"/>
          <w:b/>
          <w:i w:val="false"/>
          <w:color w:val="000000"/>
        </w:rPr>
        <w:t xml:space="preserve"> Приемлемые схемы пастбищеоборотов </w:t>
      </w:r>
    </w:p>
    <w:bookmarkEnd w:id="66"/>
    <w:bookmarkStart w:name="z10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2024-2025 годы</w:t>
            </w:r>
          </w:p>
        </w:tc>
      </w:tr>
    </w:tbl>
    <w:bookmarkStart w:name="z103" w:id="6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68"/>
    <w:bookmarkStart w:name="z10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 xml:space="preserve">и их использованию по сельский </w:t>
            </w:r>
            <w:r>
              <w:br/>
            </w:r>
            <w:r>
              <w:rPr>
                <w:rFonts w:ascii="Times New Roman"/>
                <w:b w:val="false"/>
                <w:i w:val="false"/>
                <w:color w:val="000000"/>
                <w:sz w:val="20"/>
              </w:rPr>
              <w:t>округ</w:t>
            </w:r>
            <w:r>
              <w:br/>
            </w:r>
            <w:r>
              <w:rPr>
                <w:rFonts w:ascii="Times New Roman"/>
                <w:b w:val="false"/>
                <w:i w:val="false"/>
                <w:color w:val="000000"/>
                <w:sz w:val="20"/>
              </w:rPr>
              <w:t>на 2024-2025 годы</w:t>
            </w:r>
          </w:p>
        </w:tc>
      </w:tr>
    </w:tbl>
    <w:bookmarkStart w:name="z106" w:id="7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0"/>
    <w:bookmarkStart w:name="z10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09" w:id="7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72"/>
    <w:bookmarkStart w:name="z11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12" w:id="74"/>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74"/>
    <w:bookmarkStart w:name="z11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15" w:id="76"/>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от пастбища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xml:space="preserve">
от ІІ декады марта </w:t>
            </w:r>
          </w:p>
          <w:bookmarkEnd w:id="77"/>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xml:space="preserve">
 от ІІ декады мая </w:t>
            </w:r>
          </w:p>
          <w:bookmarkEnd w:id="78"/>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от ІІ декады октября</w:t>
            </w:r>
          </w:p>
          <w:bookmarkEnd w:id="79"/>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xml:space="preserve">
 от ІІ декады марта </w:t>
            </w:r>
          </w:p>
          <w:bookmarkEnd w:id="80"/>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xml:space="preserve">
 от ІІ декады мая </w:t>
            </w:r>
          </w:p>
          <w:bookmarkEnd w:id="81"/>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от ІІ декады октября</w:t>
            </w:r>
          </w:p>
          <w:bookmarkEnd w:id="82"/>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