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4de6" w14:textId="6c34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непрерывного профессионального развития работников центров трудовой мобильности и карьерных центров</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октября 2024 года № 397</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98-2)</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непрерывного профессионального развития работников центров трудовой мобильности и карьерных центров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0"/>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труда и социальной </w:t>
            </w:r>
          </w:p>
          <w:p>
            <w:pPr>
              <w:spacing w:after="20"/>
              <w:ind w:left="20"/>
              <w:jc w:val="both"/>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2024 года № 397</w:t>
            </w:r>
          </w:p>
        </w:tc>
      </w:tr>
    </w:tbl>
    <w:bookmarkStart w:name="z13" w:id="5"/>
    <w:p>
      <w:pPr>
        <w:spacing w:after="0"/>
        <w:ind w:left="0"/>
        <w:jc w:val="left"/>
      </w:pPr>
      <w:r>
        <w:rPr>
          <w:rFonts w:ascii="Times New Roman"/>
          <w:b/>
          <w:i w:val="false"/>
          <w:color w:val="000000"/>
        </w:rPr>
        <w:t xml:space="preserve"> Правила непрерывного профессионального развития работников центров трудовой мобильности и карьерных центров</w:t>
      </w:r>
    </w:p>
    <w:bookmarkEnd w:id="5"/>
    <w:bookmarkStart w:name="z14"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непрерывного профессионального развития работников центров трудовой мобильности и карьерных центров (далее – Правила) разработаны в соответствии с </w:t>
      </w:r>
      <w:r>
        <w:rPr>
          <w:rFonts w:ascii="Times New Roman"/>
          <w:b w:val="false"/>
          <w:i w:val="false"/>
          <w:color w:val="000000"/>
          <w:sz w:val="28"/>
        </w:rPr>
        <w:t>подпунктом 98-2)</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непрерывного профессионального развития работников центров трудовой мобильности и карьерных центров.</w:t>
      </w:r>
    </w:p>
    <w:bookmarkStart w:name="z16"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7" w:id="8"/>
    <w:p>
      <w:pPr>
        <w:spacing w:after="0"/>
        <w:ind w:left="0"/>
        <w:jc w:val="both"/>
      </w:pPr>
      <w:r>
        <w:rPr>
          <w:rFonts w:ascii="Times New Roman"/>
          <w:b w:val="false"/>
          <w:i w:val="false"/>
          <w:color w:val="000000"/>
          <w:sz w:val="28"/>
        </w:rPr>
        <w:t>
      1)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работник центра трудовой мобильности (карьерного центра) (далее - работник) - специалист либо руководитель, осуществляющий профессиональную деятельность в центре трудовой мобильности (карьерном центре), имеющий необходимую квалификацию определенного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труда и социальной защиты населения Республики Казахстан от 25 октября 2017 года № 360 "Об утверждении Типовых квалификационных характеристик должностей руководителей, специалистов и других служащих организаций социальной защиты и занятости населения" (зарегистрирован в Реестре государственной регистрации нормативных правовых актов под № 16057);</w:t>
      </w:r>
    </w:p>
    <w:bookmarkStart w:name="z19" w:id="9"/>
    <w:p>
      <w:pPr>
        <w:spacing w:after="0"/>
        <w:ind w:left="0"/>
        <w:jc w:val="both"/>
      </w:pPr>
      <w:r>
        <w:rPr>
          <w:rFonts w:ascii="Times New Roman"/>
          <w:b w:val="false"/>
          <w:i w:val="false"/>
          <w:color w:val="000000"/>
          <w:sz w:val="28"/>
        </w:rPr>
        <w:t>
      3) повышение квалификации работников центров трудовой мобильности (карьерных центров) – форма профессионального обучения, позволяющая приобретать новые, а также поддерживать, расширять, углублять и совершенствовать ранее приобретенные профессиональные знания, умения, навыки;</w:t>
      </w:r>
    </w:p>
    <w:bookmarkEnd w:id="9"/>
    <w:bookmarkStart w:name="z20" w:id="10"/>
    <w:p>
      <w:pPr>
        <w:spacing w:after="0"/>
        <w:ind w:left="0"/>
        <w:jc w:val="both"/>
      </w:pPr>
      <w:r>
        <w:rPr>
          <w:rFonts w:ascii="Times New Roman"/>
          <w:b w:val="false"/>
          <w:i w:val="false"/>
          <w:color w:val="000000"/>
          <w:sz w:val="28"/>
        </w:rPr>
        <w:t>
      4) онлайн-платформа непрерывного профессионального развития работников центров трудовой мобильности (карьерных центров) (далее – платформа) – информационная система обеспечивающая возможность повышения квалификации и аттестации работника центра трудовой мобильности (карьерного центра) в онлайн режиме;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организация повышения квалификации работников центров трудовой мобильности (карьерных центров) (далее – организация повышения квалификации) – структурное подразделение Центра развития трудовых ресурсов, осуществляющее повышение квалификации специалистов местных исполнительных органов и центров трудовой мобильности (карьерных центров)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16 Социального кодекса Республики Казахстан;</w:t>
      </w:r>
    </w:p>
    <w:bookmarkStart w:name="z22" w:id="11"/>
    <w:p>
      <w:pPr>
        <w:spacing w:after="0"/>
        <w:ind w:left="0"/>
        <w:jc w:val="both"/>
      </w:pPr>
      <w:r>
        <w:rPr>
          <w:rFonts w:ascii="Times New Roman"/>
          <w:b w:val="false"/>
          <w:i w:val="false"/>
          <w:color w:val="000000"/>
          <w:sz w:val="28"/>
        </w:rPr>
        <w:t>
      6) индивидуальный план обучения – план развития компетенций работника центра трудовой мобильности (карьерного центра) на календарный год, включающий стандарт учебные курсы (модули) обязательные к прохождению;</w:t>
      </w:r>
    </w:p>
    <w:bookmarkEnd w:id="11"/>
    <w:bookmarkStart w:name="z23" w:id="12"/>
    <w:p>
      <w:pPr>
        <w:spacing w:after="0"/>
        <w:ind w:left="0"/>
        <w:jc w:val="both"/>
      </w:pPr>
      <w:r>
        <w:rPr>
          <w:rFonts w:ascii="Times New Roman"/>
          <w:b w:val="false"/>
          <w:i w:val="false"/>
          <w:color w:val="000000"/>
          <w:sz w:val="28"/>
        </w:rPr>
        <w:t>
      7) профессионально-адаптационная подготовка – процесс подготовки, направленный на адаптацию и обучение работников, впервые принятых или вновь поступивших на службу в центр трудовой мобильности (карьерный центр);</w:t>
      </w:r>
    </w:p>
    <w:bookmarkEnd w:id="12"/>
    <w:bookmarkStart w:name="z24" w:id="13"/>
    <w:p>
      <w:pPr>
        <w:spacing w:after="0"/>
        <w:ind w:left="0"/>
        <w:jc w:val="both"/>
      </w:pPr>
      <w:r>
        <w:rPr>
          <w:rFonts w:ascii="Times New Roman"/>
          <w:b w:val="false"/>
          <w:i w:val="false"/>
          <w:color w:val="000000"/>
          <w:sz w:val="28"/>
        </w:rPr>
        <w:t>
      8)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13"/>
    <w:bookmarkStart w:name="z25" w:id="14"/>
    <w:p>
      <w:pPr>
        <w:spacing w:after="0"/>
        <w:ind w:left="0"/>
        <w:jc w:val="both"/>
      </w:pPr>
      <w:r>
        <w:rPr>
          <w:rFonts w:ascii="Times New Roman"/>
          <w:b w:val="false"/>
          <w:i w:val="false"/>
          <w:color w:val="000000"/>
          <w:sz w:val="28"/>
        </w:rPr>
        <w:t>
      9)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14"/>
    <w:bookmarkStart w:name="z26" w:id="15"/>
    <w:p>
      <w:pPr>
        <w:spacing w:after="0"/>
        <w:ind w:left="0"/>
        <w:jc w:val="both"/>
      </w:pPr>
      <w:r>
        <w:rPr>
          <w:rFonts w:ascii="Times New Roman"/>
          <w:b w:val="false"/>
          <w:i w:val="false"/>
          <w:color w:val="000000"/>
          <w:sz w:val="28"/>
        </w:rPr>
        <w:t>
      10) стандарт учебного курса (модуля) – документ, включающие в себя информацию об учебном курсе (модуле), квалификации, необходимые для участия в обучении, результаты обучения, структуру и содержание учебного курса;</w:t>
      </w:r>
    </w:p>
    <w:bookmarkEnd w:id="15"/>
    <w:bookmarkStart w:name="z27" w:id="16"/>
    <w:p>
      <w:pPr>
        <w:spacing w:after="0"/>
        <w:ind w:left="0"/>
        <w:jc w:val="both"/>
      </w:pPr>
      <w:r>
        <w:rPr>
          <w:rFonts w:ascii="Times New Roman"/>
          <w:b w:val="false"/>
          <w:i w:val="false"/>
          <w:color w:val="000000"/>
          <w:sz w:val="28"/>
        </w:rPr>
        <w:t>
      11) непрерывное профессиональное развитие - целенаправленное поддержание и развитие профессиональных компетенций и мастерства, а также повышение квалификации и аттестации, профессионально-адаптационная подготовка и других видов развития работников центров трудовой мобильности (карьерных центров) для обеспечения высокого качества реализации функций центров трудовой мобильности (карьерных центров);</w:t>
      </w:r>
    </w:p>
    <w:bookmarkEnd w:id="16"/>
    <w:bookmarkStart w:name="z28" w:id="17"/>
    <w:p>
      <w:pPr>
        <w:spacing w:after="0"/>
        <w:ind w:left="0"/>
        <w:jc w:val="both"/>
      </w:pPr>
      <w:r>
        <w:rPr>
          <w:rFonts w:ascii="Times New Roman"/>
          <w:b w:val="false"/>
          <w:i w:val="false"/>
          <w:color w:val="000000"/>
          <w:sz w:val="28"/>
        </w:rPr>
        <w:t>
      12) внутренний тренер – работник центра трудовой мобильности из числа управленческого и основного персонала со стажем работы в сфере занятости населения не менее двух лет, обладающего высокими профессиональными качествами, а также прошедший обучение по программе подготовки тренеров и осуществляющий обучение работников центров трудовой мобильности (карьерных центров).</w:t>
      </w:r>
    </w:p>
    <w:bookmarkEnd w:id="17"/>
    <w:bookmarkStart w:name="z29" w:id="18"/>
    <w:p>
      <w:pPr>
        <w:spacing w:after="0"/>
        <w:ind w:left="0"/>
        <w:jc w:val="both"/>
      </w:pPr>
      <w:r>
        <w:rPr>
          <w:rFonts w:ascii="Times New Roman"/>
          <w:b w:val="false"/>
          <w:i w:val="false"/>
          <w:color w:val="000000"/>
          <w:sz w:val="28"/>
        </w:rPr>
        <w:t>
      13) наставник – работник центра трудовой мобильности (карьерного центра), закрепляемый за работником, впервые принятым или вновь поступившим на службу в центр трудовой мобильности (карьерный центр), оказывающий ему практическую помощь в его профессиональной адаптации.</w:t>
      </w:r>
    </w:p>
    <w:bookmarkEnd w:id="18"/>
    <w:bookmarkStart w:name="z30" w:id="19"/>
    <w:p>
      <w:pPr>
        <w:spacing w:after="0"/>
        <w:ind w:left="0"/>
        <w:jc w:val="both"/>
      </w:pPr>
      <w:r>
        <w:rPr>
          <w:rFonts w:ascii="Times New Roman"/>
          <w:b w:val="false"/>
          <w:i w:val="false"/>
          <w:color w:val="000000"/>
          <w:sz w:val="28"/>
        </w:rPr>
        <w:t>
      3. Непрерывное профессиональное развитие работника центра трудовой мобильности (карьерного центра) проводится на постоянной основе с момента издания приказа уполномоченного лица центра трудовой мобильности о приеме его на работу в соответствии с настоящими Правилами.</w:t>
      </w:r>
    </w:p>
    <w:bookmarkEnd w:id="19"/>
    <w:bookmarkStart w:name="z31" w:id="20"/>
    <w:p>
      <w:pPr>
        <w:spacing w:after="0"/>
        <w:ind w:left="0"/>
        <w:jc w:val="both"/>
      </w:pPr>
      <w:r>
        <w:rPr>
          <w:rFonts w:ascii="Times New Roman"/>
          <w:b w:val="false"/>
          <w:i w:val="false"/>
          <w:color w:val="000000"/>
          <w:sz w:val="28"/>
        </w:rPr>
        <w:t>
      4. Непрерывное профессиональное развитие работников центров трудовой мобильности (карьерных центров) включает в себя:</w:t>
      </w:r>
    </w:p>
    <w:bookmarkEnd w:id="20"/>
    <w:bookmarkStart w:name="z32" w:id="21"/>
    <w:p>
      <w:pPr>
        <w:spacing w:after="0"/>
        <w:ind w:left="0"/>
        <w:jc w:val="both"/>
      </w:pPr>
      <w:r>
        <w:rPr>
          <w:rFonts w:ascii="Times New Roman"/>
          <w:b w:val="false"/>
          <w:i w:val="false"/>
          <w:color w:val="000000"/>
          <w:sz w:val="28"/>
        </w:rPr>
        <w:t>
      1) профессионально-адаптационную подготовку работников центров трудовой мобильности (карьерных центров);</w:t>
      </w:r>
    </w:p>
    <w:bookmarkEnd w:id="21"/>
    <w:bookmarkStart w:name="z33" w:id="22"/>
    <w:p>
      <w:pPr>
        <w:spacing w:after="0"/>
        <w:ind w:left="0"/>
        <w:jc w:val="both"/>
      </w:pPr>
      <w:r>
        <w:rPr>
          <w:rFonts w:ascii="Times New Roman"/>
          <w:b w:val="false"/>
          <w:i w:val="false"/>
          <w:color w:val="000000"/>
          <w:sz w:val="28"/>
        </w:rPr>
        <w:t>
      2) формирование индивидуального плана обучения работника центра трудовой мобильности (карьерного центра);</w:t>
      </w:r>
    </w:p>
    <w:bookmarkEnd w:id="22"/>
    <w:bookmarkStart w:name="z34" w:id="23"/>
    <w:p>
      <w:pPr>
        <w:spacing w:after="0"/>
        <w:ind w:left="0"/>
        <w:jc w:val="both"/>
      </w:pPr>
      <w:r>
        <w:rPr>
          <w:rFonts w:ascii="Times New Roman"/>
          <w:b w:val="false"/>
          <w:i w:val="false"/>
          <w:color w:val="000000"/>
          <w:sz w:val="28"/>
        </w:rPr>
        <w:t>
      3) непрерывное профессиональное обучение работников центров трудовой мобильности (карьерных центров);</w:t>
      </w:r>
    </w:p>
    <w:bookmarkEnd w:id="23"/>
    <w:bookmarkStart w:name="z35" w:id="24"/>
    <w:p>
      <w:pPr>
        <w:spacing w:after="0"/>
        <w:ind w:left="0"/>
        <w:jc w:val="both"/>
      </w:pPr>
      <w:r>
        <w:rPr>
          <w:rFonts w:ascii="Times New Roman"/>
          <w:b w:val="false"/>
          <w:i w:val="false"/>
          <w:color w:val="000000"/>
          <w:sz w:val="28"/>
        </w:rPr>
        <w:t>
      4) организацию обучения внутренними тренерами.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Центр трудовой мобильности обеспечивает профессиональное развитие и повышение квалификации работников (карьерных центров)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20 Социального кодекса Республики Казахстан.</w:t>
      </w:r>
    </w:p>
    <w:bookmarkStart w:name="z37" w:id="25"/>
    <w:p>
      <w:pPr>
        <w:spacing w:after="0"/>
        <w:ind w:left="0"/>
        <w:jc w:val="left"/>
      </w:pPr>
      <w:r>
        <w:rPr>
          <w:rFonts w:ascii="Times New Roman"/>
          <w:b/>
          <w:i w:val="false"/>
          <w:color w:val="000000"/>
        </w:rPr>
        <w:t xml:space="preserve"> Глава 2. Порядок непрерывного профессионального развития работников центров трудовой мобильности (карьерных центров)</w:t>
      </w:r>
    </w:p>
    <w:bookmarkEnd w:id="25"/>
    <w:bookmarkStart w:name="z38" w:id="26"/>
    <w:p>
      <w:pPr>
        <w:spacing w:after="0"/>
        <w:ind w:left="0"/>
        <w:jc w:val="left"/>
      </w:pPr>
      <w:r>
        <w:rPr>
          <w:rFonts w:ascii="Times New Roman"/>
          <w:b/>
          <w:i w:val="false"/>
          <w:color w:val="000000"/>
        </w:rPr>
        <w:t xml:space="preserve"> Параграф 1. Профессионально-адаптационная подготовка</w:t>
      </w:r>
    </w:p>
    <w:bookmarkEnd w:id="26"/>
    <w:bookmarkStart w:name="z39" w:id="27"/>
    <w:p>
      <w:pPr>
        <w:spacing w:after="0"/>
        <w:ind w:left="0"/>
        <w:jc w:val="both"/>
      </w:pPr>
      <w:r>
        <w:rPr>
          <w:rFonts w:ascii="Times New Roman"/>
          <w:b w:val="false"/>
          <w:i w:val="false"/>
          <w:color w:val="000000"/>
          <w:sz w:val="28"/>
        </w:rPr>
        <w:t>
      6. Работник из числа управленческого или основного персонала, впервые принятый или вновь поступивший на службу в центр трудовой мобильности (карьерный центр), проходит профессионально-адаптационную подготовку в период прохождения испытательного срока от одного до трех месяцев.</w:t>
      </w:r>
    </w:p>
    <w:bookmarkEnd w:id="27"/>
    <w:bookmarkStart w:name="z40" w:id="28"/>
    <w:p>
      <w:pPr>
        <w:spacing w:after="0"/>
        <w:ind w:left="0"/>
        <w:jc w:val="both"/>
      </w:pPr>
      <w:r>
        <w:rPr>
          <w:rFonts w:ascii="Times New Roman"/>
          <w:b w:val="false"/>
          <w:i w:val="false"/>
          <w:color w:val="000000"/>
          <w:sz w:val="28"/>
        </w:rPr>
        <w:t>
      7. На период прохождения профессионально-адаптационной подготовки за работником центра трудовой мобильности (карьерного центра) закрепляется наставник.</w:t>
      </w:r>
    </w:p>
    <w:bookmarkEnd w:id="28"/>
    <w:bookmarkStart w:name="z41" w:id="29"/>
    <w:p>
      <w:pPr>
        <w:spacing w:after="0"/>
        <w:ind w:left="0"/>
        <w:jc w:val="both"/>
      </w:pPr>
      <w:r>
        <w:rPr>
          <w:rFonts w:ascii="Times New Roman"/>
          <w:b w:val="false"/>
          <w:i w:val="false"/>
          <w:color w:val="000000"/>
          <w:sz w:val="28"/>
        </w:rPr>
        <w:t>
      Закрепление наставника за работником, впервые принятым или вновь поступившим на службу в центр трудовой мобильности (карьерный центр), производится на основании приказа уполномоченного лица центра трудовой мобильности о приеме его на работу.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Наставник в течение трех рабочих дней после закрепления его наставником разрабатывает план адаптации работника, проходящего профессионально-адаптационную подготовку,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43" w:id="30"/>
    <w:p>
      <w:pPr>
        <w:spacing w:after="0"/>
        <w:ind w:left="0"/>
        <w:jc w:val="both"/>
      </w:pPr>
      <w:r>
        <w:rPr>
          <w:rFonts w:ascii="Times New Roman"/>
          <w:b w:val="false"/>
          <w:i w:val="false"/>
          <w:color w:val="000000"/>
          <w:sz w:val="28"/>
        </w:rPr>
        <w:t>
      9. Работник, проходящий профессионально-адаптационную подготовку, в течение пятнадцати рабочих дней со дня приема на работу проходит адаптационное обучение по программе, разработанной организацией повышения квалификации.</w:t>
      </w:r>
    </w:p>
    <w:bookmarkEnd w:id="30"/>
    <w:bookmarkStart w:name="z44" w:id="31"/>
    <w:p>
      <w:pPr>
        <w:spacing w:after="0"/>
        <w:ind w:left="0"/>
        <w:jc w:val="both"/>
      </w:pPr>
      <w:r>
        <w:rPr>
          <w:rFonts w:ascii="Times New Roman"/>
          <w:b w:val="false"/>
          <w:i w:val="false"/>
          <w:color w:val="000000"/>
          <w:sz w:val="28"/>
        </w:rPr>
        <w:t>
      10. Адаптационное обучение организуется с частичным отрывом от трудовой деятельности с сохранением заработной платы способом дистанционного обучения посредством Платформы.</w:t>
      </w:r>
    </w:p>
    <w:bookmarkEnd w:id="31"/>
    <w:bookmarkStart w:name="z45" w:id="32"/>
    <w:p>
      <w:pPr>
        <w:spacing w:after="0"/>
        <w:ind w:left="0"/>
        <w:jc w:val="both"/>
      </w:pPr>
      <w:r>
        <w:rPr>
          <w:rFonts w:ascii="Times New Roman"/>
          <w:b w:val="false"/>
          <w:i w:val="false"/>
          <w:color w:val="000000"/>
          <w:sz w:val="28"/>
        </w:rPr>
        <w:t>
      11. Работник, проходящий профессионально-адаптационную подготовку, проходит адаптационное обучение самостоятельно под руководством наставника, с обязательной практикой по изученным темам в рабочей среде в центре трудовой мобильности (карьерном центра).</w:t>
      </w:r>
    </w:p>
    <w:bookmarkEnd w:id="32"/>
    <w:bookmarkStart w:name="z46" w:id="33"/>
    <w:p>
      <w:pPr>
        <w:spacing w:after="0"/>
        <w:ind w:left="0"/>
        <w:jc w:val="both"/>
      </w:pPr>
      <w:r>
        <w:rPr>
          <w:rFonts w:ascii="Times New Roman"/>
          <w:b w:val="false"/>
          <w:i w:val="false"/>
          <w:color w:val="000000"/>
          <w:sz w:val="28"/>
        </w:rPr>
        <w:t>
      12. После прохождения профессионально-адаптационной подготовки работник центра трудовой мобильности (карьерного центра) готовит отчет о выполнении плана адаптации посредством Платформы.</w:t>
      </w:r>
    </w:p>
    <w:bookmarkEnd w:id="33"/>
    <w:bookmarkStart w:name="z47" w:id="34"/>
    <w:p>
      <w:pPr>
        <w:spacing w:after="0"/>
        <w:ind w:left="0"/>
        <w:jc w:val="both"/>
      </w:pPr>
      <w:r>
        <w:rPr>
          <w:rFonts w:ascii="Times New Roman"/>
          <w:b w:val="false"/>
          <w:i w:val="false"/>
          <w:color w:val="000000"/>
          <w:sz w:val="28"/>
        </w:rPr>
        <w:t>
      13. По завершению наставничества наставник оценивает выполнение плана адаптации работником, проходившим профессионально-адаптационную подготовку.</w:t>
      </w:r>
    </w:p>
    <w:bookmarkEnd w:id="34"/>
    <w:bookmarkStart w:name="z48" w:id="35"/>
    <w:p>
      <w:pPr>
        <w:spacing w:after="0"/>
        <w:ind w:left="0"/>
        <w:jc w:val="both"/>
      </w:pPr>
      <w:r>
        <w:rPr>
          <w:rFonts w:ascii="Times New Roman"/>
          <w:b w:val="false"/>
          <w:i w:val="false"/>
          <w:color w:val="000000"/>
          <w:sz w:val="28"/>
        </w:rPr>
        <w:t>
      14. По итогам рассмотрения информации о выполнении плана адаптации, наставник в течение трех рабочих дней выносит решение о прохождении либо не прохождении работником испытательного срока.</w:t>
      </w:r>
    </w:p>
    <w:bookmarkEnd w:id="35"/>
    <w:bookmarkStart w:name="z49" w:id="36"/>
    <w:p>
      <w:pPr>
        <w:spacing w:after="0"/>
        <w:ind w:left="0"/>
        <w:jc w:val="left"/>
      </w:pPr>
      <w:r>
        <w:rPr>
          <w:rFonts w:ascii="Times New Roman"/>
          <w:b/>
          <w:i w:val="false"/>
          <w:color w:val="000000"/>
        </w:rPr>
        <w:t xml:space="preserve"> Параграф 2. Порядок формирования индивидуального плана обучения</w:t>
      </w:r>
    </w:p>
    <w:bookmarkEnd w:id="36"/>
    <w:bookmarkStart w:name="z50" w:id="37"/>
    <w:p>
      <w:pPr>
        <w:spacing w:after="0"/>
        <w:ind w:left="0"/>
        <w:jc w:val="both"/>
      </w:pPr>
      <w:r>
        <w:rPr>
          <w:rFonts w:ascii="Times New Roman"/>
          <w:b w:val="false"/>
          <w:i w:val="false"/>
          <w:color w:val="000000"/>
          <w:sz w:val="28"/>
        </w:rPr>
        <w:t>
      15. В индивидуальном плане обучения работнику центра трудовой мобильности (карьерного центра) устанавливаются не менее 40 (сорока) академических часов обучения по стандарту учебного курса (модуля), обязательным к прохождению в течение календарного года.</w:t>
      </w:r>
    </w:p>
    <w:bookmarkEnd w:id="37"/>
    <w:bookmarkStart w:name="z51" w:id="38"/>
    <w:p>
      <w:pPr>
        <w:spacing w:after="0"/>
        <w:ind w:left="0"/>
        <w:jc w:val="both"/>
      </w:pPr>
      <w:r>
        <w:rPr>
          <w:rFonts w:ascii="Times New Roman"/>
          <w:b w:val="false"/>
          <w:i w:val="false"/>
          <w:color w:val="000000"/>
          <w:sz w:val="28"/>
        </w:rPr>
        <w:t>
      Академический час составляет 60 (шестьдесят) минут.</w:t>
      </w:r>
    </w:p>
    <w:bookmarkEnd w:id="38"/>
    <w:bookmarkStart w:name="z52" w:id="39"/>
    <w:p>
      <w:pPr>
        <w:spacing w:after="0"/>
        <w:ind w:left="0"/>
        <w:jc w:val="both"/>
      </w:pPr>
      <w:r>
        <w:rPr>
          <w:rFonts w:ascii="Times New Roman"/>
          <w:b w:val="false"/>
          <w:i w:val="false"/>
          <w:color w:val="000000"/>
          <w:sz w:val="28"/>
        </w:rPr>
        <w:t>
      16. Индивидуальный план обучения работника центра трудовой мобильности (карьерного центра) формируется на основании оценки уровня развития компетенций работников центров трудовой мобильности (карьерных центров).</w:t>
      </w:r>
    </w:p>
    <w:bookmarkEnd w:id="39"/>
    <w:bookmarkStart w:name="z53" w:id="40"/>
    <w:p>
      <w:pPr>
        <w:spacing w:after="0"/>
        <w:ind w:left="0"/>
        <w:jc w:val="both"/>
      </w:pPr>
      <w:r>
        <w:rPr>
          <w:rFonts w:ascii="Times New Roman"/>
          <w:b w:val="false"/>
          <w:i w:val="false"/>
          <w:color w:val="000000"/>
          <w:sz w:val="28"/>
        </w:rPr>
        <w:t>
      17. Ежегодно не позднее 15 ноября текущего года работники центров трудовой мобильности (карьерных центров) проходят оценку уровня развития компетенций в формах:</w:t>
      </w:r>
    </w:p>
    <w:bookmarkEnd w:id="40"/>
    <w:bookmarkStart w:name="z54" w:id="41"/>
    <w:p>
      <w:pPr>
        <w:spacing w:after="0"/>
        <w:ind w:left="0"/>
        <w:jc w:val="both"/>
      </w:pPr>
      <w:r>
        <w:rPr>
          <w:rFonts w:ascii="Times New Roman"/>
          <w:b w:val="false"/>
          <w:i w:val="false"/>
          <w:color w:val="000000"/>
          <w:sz w:val="28"/>
        </w:rPr>
        <w:t>
      1) внешней оценки уровня развития компетенций, проводимой организацией повышения квалификации путем сбора и анализа ведомственной и административной отчетности по вопросам социальной защиты, занятости и деятельности центров трудовой мобильности (карьерных центров)</w:t>
      </w:r>
    </w:p>
    <w:bookmarkEnd w:id="41"/>
    <w:bookmarkStart w:name="z55" w:id="42"/>
    <w:p>
      <w:pPr>
        <w:spacing w:after="0"/>
        <w:ind w:left="0"/>
        <w:jc w:val="both"/>
      </w:pPr>
      <w:r>
        <w:rPr>
          <w:rFonts w:ascii="Times New Roman"/>
          <w:b w:val="false"/>
          <w:i w:val="false"/>
          <w:color w:val="000000"/>
          <w:sz w:val="28"/>
        </w:rPr>
        <w:t>
      2) самостоятельной оценки уровня развития компетенций путем прохождения анкетирования посредством Платформы.</w:t>
      </w:r>
    </w:p>
    <w:bookmarkEnd w:id="42"/>
    <w:bookmarkStart w:name="z56" w:id="43"/>
    <w:p>
      <w:pPr>
        <w:spacing w:after="0"/>
        <w:ind w:left="0"/>
        <w:jc w:val="both"/>
      </w:pPr>
      <w:r>
        <w:rPr>
          <w:rFonts w:ascii="Times New Roman"/>
          <w:b w:val="false"/>
          <w:i w:val="false"/>
          <w:color w:val="000000"/>
          <w:sz w:val="28"/>
        </w:rPr>
        <w:t>
      18. По итогам обобщения результатов оценки уровня развития компетенций работников центров трудовой мобильности (карьерных центров) организация повышения квалификации формирует посредством Платформы индивидуальный план обучения работников центров трудовой мобильности (карьерных центров) на следующий год;</w:t>
      </w:r>
    </w:p>
    <w:bookmarkEnd w:id="43"/>
    <w:bookmarkStart w:name="z57" w:id="44"/>
    <w:p>
      <w:pPr>
        <w:spacing w:after="0"/>
        <w:ind w:left="0"/>
        <w:jc w:val="both"/>
      </w:pPr>
      <w:r>
        <w:rPr>
          <w:rFonts w:ascii="Times New Roman"/>
          <w:b w:val="false"/>
          <w:i w:val="false"/>
          <w:color w:val="000000"/>
          <w:sz w:val="28"/>
        </w:rPr>
        <w:t>
      19. Работнику центра трудовой мобильности (карьерного центра) в личном кабинете на Платформе отображается индивидуальный план обучения с указанием перечня учебных курсов (модулей), графика проведения обучения, а также статуса выполнения индивидуального плана обучения.</w:t>
      </w:r>
    </w:p>
    <w:bookmarkEnd w:id="44"/>
    <w:bookmarkStart w:name="z58" w:id="45"/>
    <w:p>
      <w:pPr>
        <w:spacing w:after="0"/>
        <w:ind w:left="0"/>
        <w:jc w:val="both"/>
      </w:pPr>
      <w:r>
        <w:rPr>
          <w:rFonts w:ascii="Times New Roman"/>
          <w:b w:val="false"/>
          <w:i w:val="false"/>
          <w:color w:val="000000"/>
          <w:sz w:val="28"/>
        </w:rPr>
        <w:t>
      20. Индивидуальный план обучения работника центра трудовой мобильности (карьерного центра) корректируется или дополняется:</w:t>
      </w:r>
    </w:p>
    <w:bookmarkEnd w:id="45"/>
    <w:bookmarkStart w:name="z59" w:id="46"/>
    <w:p>
      <w:pPr>
        <w:spacing w:after="0"/>
        <w:ind w:left="0"/>
        <w:jc w:val="both"/>
      </w:pPr>
      <w:r>
        <w:rPr>
          <w:rFonts w:ascii="Times New Roman"/>
          <w:b w:val="false"/>
          <w:i w:val="false"/>
          <w:color w:val="000000"/>
          <w:sz w:val="28"/>
        </w:rPr>
        <w:t>
      1) при самостоятельном выборе работником центра трудовой мобильности (карьерного центра) дополнительных учебных курсов (модулей);</w:t>
      </w:r>
    </w:p>
    <w:bookmarkEnd w:id="46"/>
    <w:bookmarkStart w:name="z60" w:id="47"/>
    <w:p>
      <w:pPr>
        <w:spacing w:after="0"/>
        <w:ind w:left="0"/>
        <w:jc w:val="both"/>
      </w:pPr>
      <w:r>
        <w:rPr>
          <w:rFonts w:ascii="Times New Roman"/>
          <w:b w:val="false"/>
          <w:i w:val="false"/>
          <w:color w:val="000000"/>
          <w:sz w:val="28"/>
        </w:rPr>
        <w:t>
      2) при необходимости прохождения либо повторного прохождения учебного курса (модуля) работником центра трудовой мобильности (карьерного центра) в связи с недостатком профессиональных компетенций для выполнения должностных обязанностей по итогам внешней оценки уровень развития компетенций работника.</w:t>
      </w:r>
    </w:p>
    <w:bookmarkEnd w:id="47"/>
    <w:bookmarkStart w:name="z61" w:id="48"/>
    <w:p>
      <w:pPr>
        <w:spacing w:after="0"/>
        <w:ind w:left="0"/>
        <w:jc w:val="both"/>
      </w:pPr>
      <w:r>
        <w:rPr>
          <w:rFonts w:ascii="Times New Roman"/>
          <w:b w:val="false"/>
          <w:i w:val="false"/>
          <w:color w:val="000000"/>
          <w:sz w:val="28"/>
        </w:rPr>
        <w:t>
      21. В случае если работник центра трудовой мобильности (карьерного центра) завершил менее 40 (сорока) академических часов учебных курсов (модулей) в течение календарного года, то индивидуальный план обучения считается невыполненным.</w:t>
      </w:r>
    </w:p>
    <w:bookmarkEnd w:id="48"/>
    <w:bookmarkStart w:name="z62" w:id="49"/>
    <w:p>
      <w:pPr>
        <w:spacing w:after="0"/>
        <w:ind w:left="0"/>
        <w:jc w:val="left"/>
      </w:pPr>
      <w:r>
        <w:rPr>
          <w:rFonts w:ascii="Times New Roman"/>
          <w:b/>
          <w:i w:val="false"/>
          <w:color w:val="000000"/>
        </w:rPr>
        <w:t xml:space="preserve"> Параграф 3. Порядок непрерывного профессионального обучения</w:t>
      </w:r>
    </w:p>
    <w:bookmarkEnd w:id="49"/>
    <w:bookmarkStart w:name="z63" w:id="50"/>
    <w:p>
      <w:pPr>
        <w:spacing w:after="0"/>
        <w:ind w:left="0"/>
        <w:jc w:val="both"/>
      </w:pPr>
      <w:r>
        <w:rPr>
          <w:rFonts w:ascii="Times New Roman"/>
          <w:b w:val="false"/>
          <w:i w:val="false"/>
          <w:color w:val="000000"/>
          <w:sz w:val="28"/>
        </w:rPr>
        <w:t>
      22. Непрерывное профессиональное обучение работника центра трудовой мобильности (карьерного центра) осуществляется путем повышения квалификации работника центра трудовой мобильности (карьерного центра) по направлениям, соответствующим должностным обязанностям и нацеленным на развитие компетенций, в соответствии с его индивидуальным планом обучения.</w:t>
      </w:r>
    </w:p>
    <w:bookmarkEnd w:id="50"/>
    <w:bookmarkStart w:name="z64" w:id="51"/>
    <w:p>
      <w:pPr>
        <w:spacing w:after="0"/>
        <w:ind w:left="0"/>
        <w:jc w:val="both"/>
      </w:pPr>
      <w:r>
        <w:rPr>
          <w:rFonts w:ascii="Times New Roman"/>
          <w:b w:val="false"/>
          <w:i w:val="false"/>
          <w:color w:val="000000"/>
          <w:sz w:val="28"/>
        </w:rPr>
        <w:t>
      Повышение квалификации работников центров трудовой мобильности (карьерных центров) может осуществляться организацией повышения квалификации, а также внутренними тренерами из числа работников центров трудовой мобильности.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Повышение квалификации работников центров трудовой мобильности (карьерных центров) проводится по учебным курсам (модулям), разработанным организацией повышения квалификации в соответствии со стандартом учебного курса (модуля)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66" w:id="52"/>
    <w:p>
      <w:pPr>
        <w:spacing w:after="0"/>
        <w:ind w:left="0"/>
        <w:jc w:val="both"/>
      </w:pPr>
      <w:r>
        <w:rPr>
          <w:rFonts w:ascii="Times New Roman"/>
          <w:b w:val="false"/>
          <w:i w:val="false"/>
          <w:color w:val="000000"/>
          <w:sz w:val="28"/>
        </w:rPr>
        <w:t>
      23. Непрерывное профессиональное обучение работника центра трудовой мобильности (карьерного центра) организуется без отрыва либо с отрывом от трудовой деятельности с сохранением заработной платы, с использованием следующих форм обучения:</w:t>
      </w:r>
    </w:p>
    <w:bookmarkEnd w:id="52"/>
    <w:bookmarkStart w:name="z67" w:id="53"/>
    <w:p>
      <w:pPr>
        <w:spacing w:after="0"/>
        <w:ind w:left="0"/>
        <w:jc w:val="both"/>
      </w:pPr>
      <w:r>
        <w:rPr>
          <w:rFonts w:ascii="Times New Roman"/>
          <w:b w:val="false"/>
          <w:i w:val="false"/>
          <w:color w:val="000000"/>
          <w:sz w:val="28"/>
        </w:rPr>
        <w:t>
      1) вебинар, проводимый в дистанционном формате посредством Платформы, с привлечением внутренних тренеров, тренеров организации повышения квалификации, национальных и международных экспертов в области занятости и (или) развития компетенций;</w:t>
      </w:r>
    </w:p>
    <w:bookmarkEnd w:id="53"/>
    <w:bookmarkStart w:name="z68" w:id="54"/>
    <w:p>
      <w:pPr>
        <w:spacing w:after="0"/>
        <w:ind w:left="0"/>
        <w:jc w:val="both"/>
      </w:pPr>
      <w:r>
        <w:rPr>
          <w:rFonts w:ascii="Times New Roman"/>
          <w:b w:val="false"/>
          <w:i w:val="false"/>
          <w:color w:val="000000"/>
          <w:sz w:val="28"/>
        </w:rPr>
        <w:t>
      2) очный семинар, проводимый в аудитории, с привлечением внутренних тренеров, тренеров организации повышения квалификации, национальных и международных экспертов в области занятости и (или) развития компетенций;</w:t>
      </w:r>
    </w:p>
    <w:bookmarkEnd w:id="54"/>
    <w:bookmarkStart w:name="z69" w:id="55"/>
    <w:p>
      <w:pPr>
        <w:spacing w:after="0"/>
        <w:ind w:left="0"/>
        <w:jc w:val="both"/>
      </w:pPr>
      <w:r>
        <w:rPr>
          <w:rFonts w:ascii="Times New Roman"/>
          <w:b w:val="false"/>
          <w:i w:val="false"/>
          <w:color w:val="000000"/>
          <w:sz w:val="28"/>
        </w:rPr>
        <w:t>
      3) онлайн учебный курс (модуль), доступный посредством Платформы.</w:t>
      </w:r>
    </w:p>
    <w:bookmarkEnd w:id="55"/>
    <w:bookmarkStart w:name="z70" w:id="56"/>
    <w:p>
      <w:pPr>
        <w:spacing w:after="0"/>
        <w:ind w:left="0"/>
        <w:jc w:val="both"/>
      </w:pPr>
      <w:r>
        <w:rPr>
          <w:rFonts w:ascii="Times New Roman"/>
          <w:b w:val="false"/>
          <w:i w:val="false"/>
          <w:color w:val="000000"/>
          <w:sz w:val="28"/>
        </w:rPr>
        <w:t>
      24. Обучение проводится на казахском и русском языках по выбору работника центра трудовой мобильности (карьерного центра).</w:t>
      </w:r>
    </w:p>
    <w:bookmarkEnd w:id="56"/>
    <w:bookmarkStart w:name="z71" w:id="57"/>
    <w:p>
      <w:pPr>
        <w:spacing w:after="0"/>
        <w:ind w:left="0"/>
        <w:jc w:val="both"/>
      </w:pPr>
      <w:r>
        <w:rPr>
          <w:rFonts w:ascii="Times New Roman"/>
          <w:b w:val="false"/>
          <w:i w:val="false"/>
          <w:color w:val="000000"/>
          <w:sz w:val="28"/>
        </w:rPr>
        <w:t>
      25. Учебный курс (модуль) считается завершенным по прохождению работником центра трудовой мобильности (карьерного центра) полного учебного курса (модуля) и успешной сдачи тестирования.</w:t>
      </w:r>
    </w:p>
    <w:bookmarkEnd w:id="57"/>
    <w:bookmarkStart w:name="z72" w:id="58"/>
    <w:p>
      <w:pPr>
        <w:spacing w:after="0"/>
        <w:ind w:left="0"/>
        <w:jc w:val="both"/>
      </w:pPr>
      <w:r>
        <w:rPr>
          <w:rFonts w:ascii="Times New Roman"/>
          <w:b w:val="false"/>
          <w:i w:val="false"/>
          <w:color w:val="000000"/>
          <w:sz w:val="28"/>
        </w:rPr>
        <w:t>
      Учет времени и результатов пройденного учебного курса (модуля) осуществляется посредством личного кабинета работника центра трудовой мобильности (карьерного центра) на Платформе.</w:t>
      </w:r>
    </w:p>
    <w:bookmarkEnd w:id="58"/>
    <w:bookmarkStart w:name="z73" w:id="59"/>
    <w:p>
      <w:pPr>
        <w:spacing w:after="0"/>
        <w:ind w:left="0"/>
        <w:jc w:val="both"/>
      </w:pPr>
      <w:r>
        <w:rPr>
          <w:rFonts w:ascii="Times New Roman"/>
          <w:b w:val="false"/>
          <w:i w:val="false"/>
          <w:color w:val="000000"/>
          <w:sz w:val="28"/>
        </w:rPr>
        <w:t>
      26. Работникам центров трудовой мобильности (карьерных центров), успешно завершившим учебный курс, выдается сертификат, подтверждающий завершение учебного курса в электронном виде посредством Платформы.</w:t>
      </w:r>
    </w:p>
    <w:bookmarkEnd w:id="59"/>
    <w:bookmarkStart w:name="z74" w:id="60"/>
    <w:p>
      <w:pPr>
        <w:spacing w:after="0"/>
        <w:ind w:left="0"/>
        <w:jc w:val="both"/>
      </w:pPr>
      <w:r>
        <w:rPr>
          <w:rFonts w:ascii="Times New Roman"/>
          <w:b w:val="false"/>
          <w:i w:val="false"/>
          <w:color w:val="000000"/>
          <w:sz w:val="28"/>
        </w:rPr>
        <w:t>
      В сертификате указываются сведения о работнике центра трудовой мобильности (карьерного центра), прошедшем учебный курс (фамилия, имя, отчество (при его наличии), название учебного курса, количество академических часов, уникальный номер сертификата в виде QR-кода (считываемая машиной оптическая метка), который автоматически генерируется на Платформе, и дата выдачи сертификата.</w:t>
      </w:r>
    </w:p>
    <w:bookmarkEnd w:id="60"/>
    <w:bookmarkStart w:name="z75" w:id="61"/>
    <w:p>
      <w:pPr>
        <w:spacing w:after="0"/>
        <w:ind w:left="0"/>
        <w:jc w:val="both"/>
      </w:pPr>
      <w:r>
        <w:rPr>
          <w:rFonts w:ascii="Times New Roman"/>
          <w:b w:val="false"/>
          <w:i w:val="false"/>
          <w:color w:val="000000"/>
          <w:sz w:val="28"/>
        </w:rPr>
        <w:t>
      27. Результаты непрерывного профессионального обучения действительны на всей территории Республики Казахстан.</w:t>
      </w:r>
    </w:p>
    <w:bookmarkEnd w:id="61"/>
    <w:bookmarkStart w:name="z76" w:id="62"/>
    <w:p>
      <w:pPr>
        <w:spacing w:after="0"/>
        <w:ind w:left="0"/>
        <w:jc w:val="left"/>
      </w:pPr>
      <w:r>
        <w:rPr>
          <w:rFonts w:ascii="Times New Roman"/>
          <w:b/>
          <w:i w:val="false"/>
          <w:color w:val="000000"/>
        </w:rPr>
        <w:t xml:space="preserve"> Параграф 4. Организация обучения внутренними тренерами</w:t>
      </w:r>
    </w:p>
    <w:bookmarkEnd w:id="62"/>
    <w:bookmarkStart w:name="z77" w:id="63"/>
    <w:p>
      <w:pPr>
        <w:spacing w:after="0"/>
        <w:ind w:left="0"/>
        <w:jc w:val="both"/>
      </w:pPr>
      <w:r>
        <w:rPr>
          <w:rFonts w:ascii="Times New Roman"/>
          <w:b w:val="false"/>
          <w:i w:val="false"/>
          <w:color w:val="000000"/>
          <w:sz w:val="28"/>
        </w:rPr>
        <w:t>
      28. Для обеспечения профессионального развития и повышения квалификации работников центров трудовой мобильности (карьерных центров) организуется их обучение внутренними тренерами центров трудовой мобильности.</w:t>
      </w:r>
    </w:p>
    <w:bookmarkEnd w:id="63"/>
    <w:bookmarkStart w:name="z78" w:id="64"/>
    <w:p>
      <w:pPr>
        <w:spacing w:after="0"/>
        <w:ind w:left="0"/>
        <w:jc w:val="both"/>
      </w:pPr>
      <w:r>
        <w:rPr>
          <w:rFonts w:ascii="Times New Roman"/>
          <w:b w:val="false"/>
          <w:i w:val="false"/>
          <w:color w:val="000000"/>
          <w:sz w:val="28"/>
        </w:rPr>
        <w:t>
      28. Назначение внутреннего тренера производится на основании приказа уполномоченного лица Центра трудовой мобильности о приеме его на работу.</w:t>
      </w:r>
    </w:p>
    <w:bookmarkEnd w:id="64"/>
    <w:bookmarkStart w:name="z79" w:id="65"/>
    <w:p>
      <w:pPr>
        <w:spacing w:after="0"/>
        <w:ind w:left="0"/>
        <w:jc w:val="both"/>
      </w:pPr>
      <w:r>
        <w:rPr>
          <w:rFonts w:ascii="Times New Roman"/>
          <w:b w:val="false"/>
          <w:i w:val="false"/>
          <w:color w:val="000000"/>
          <w:sz w:val="28"/>
        </w:rPr>
        <w:t>
      29. Внутренний тренер проходит обучение по программе подготовки тренеров, разработанной организацией повышения квалификации.</w:t>
      </w:r>
    </w:p>
    <w:bookmarkEnd w:id="65"/>
    <w:bookmarkStart w:name="z80" w:id="66"/>
    <w:p>
      <w:pPr>
        <w:spacing w:after="0"/>
        <w:ind w:left="0"/>
        <w:jc w:val="both"/>
      </w:pPr>
      <w:r>
        <w:rPr>
          <w:rFonts w:ascii="Times New Roman"/>
          <w:b w:val="false"/>
          <w:i w:val="false"/>
          <w:color w:val="000000"/>
          <w:sz w:val="28"/>
        </w:rPr>
        <w:t>
      30. Организация повышения квалификации координирует работу внутренних тренеров.</w:t>
      </w:r>
    </w:p>
    <w:bookmarkEnd w:id="66"/>
    <w:bookmarkStart w:name="z81" w:id="67"/>
    <w:p>
      <w:pPr>
        <w:spacing w:after="0"/>
        <w:ind w:left="0"/>
        <w:jc w:val="both"/>
      </w:pPr>
      <w:r>
        <w:rPr>
          <w:rFonts w:ascii="Times New Roman"/>
          <w:b w:val="false"/>
          <w:i w:val="false"/>
          <w:color w:val="000000"/>
          <w:sz w:val="28"/>
        </w:rPr>
        <w:t>
      31. Внутренний тренер составляет план работ в соответствии с потребностью работников центров трудовой мобильности (карьерных центров) в обучении и проводит обучение согласно плану работ.</w:t>
      </w:r>
    </w:p>
    <w:bookmarkEnd w:id="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работников центров трудовой</w:t>
            </w:r>
            <w:r>
              <w:br/>
            </w:r>
            <w:r>
              <w:rPr>
                <w:rFonts w:ascii="Times New Roman"/>
                <w:b w:val="false"/>
                <w:i w:val="false"/>
                <w:color w:val="000000"/>
                <w:sz w:val="20"/>
              </w:rPr>
              <w:t>мобильности и 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___________________________</w:t>
            </w:r>
            <w:r>
              <w:br/>
            </w:r>
            <w:r>
              <w:rPr>
                <w:rFonts w:ascii="Times New Roman"/>
                <w:b w:val="false"/>
                <w:i w:val="false"/>
                <w:color w:val="000000"/>
                <w:sz w:val="20"/>
              </w:rPr>
              <w:t>"___"______________20__г.</w:t>
            </w:r>
          </w:p>
        </w:tc>
      </w:tr>
    </w:tbl>
    <w:bookmarkStart w:name="z85" w:id="68"/>
    <w:p>
      <w:pPr>
        <w:spacing w:after="0"/>
        <w:ind w:left="0"/>
        <w:jc w:val="left"/>
      </w:pPr>
      <w:r>
        <w:rPr>
          <w:rFonts w:ascii="Times New Roman"/>
          <w:b/>
          <w:i w:val="false"/>
          <w:color w:val="000000"/>
        </w:rPr>
        <w:t xml:space="preserve"> План адаптации работника центра трудовой мобильности (карьерного центра) на период прохождения профессионально-адаптационной подготовки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выхода на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испытательного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наставника,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Оценка выполненного мероприятия</w:t>
            </w:r>
          </w:p>
          <w:bookmarkEnd w:id="69"/>
          <w:p>
            <w:pPr>
              <w:spacing w:after="20"/>
              <w:ind w:left="20"/>
              <w:jc w:val="both"/>
            </w:pPr>
            <w:r>
              <w:rPr>
                <w:rFonts w:ascii="Times New Roman"/>
                <w:b w:val="false"/>
                <w:i w:val="false"/>
                <w:color w:val="000000"/>
                <w:sz w:val="20"/>
              </w:rPr>
              <w:t>
(от 2 до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наставника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Мероприятия, направленные на изучение деятельности центра трудовой мобильности (карьерного центра)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Мероприятия, направленные на прохождение адаптационного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Мероприятия, направленные на изучение профессиональной специфики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С планом адаптации ознакомлен __________ ___________________________  </w:t>
      </w:r>
    </w:p>
    <w:p>
      <w:pPr>
        <w:spacing w:after="0"/>
        <w:ind w:left="0"/>
        <w:jc w:val="both"/>
      </w:pPr>
      <w:r>
        <w:rPr>
          <w:rFonts w:ascii="Times New Roman"/>
          <w:b w:val="false"/>
          <w:i w:val="false"/>
          <w:color w:val="000000"/>
          <w:sz w:val="28"/>
        </w:rPr>
        <w:t xml:space="preserve">                                     (подпись) (расшифровка подписи) </w:t>
      </w:r>
    </w:p>
    <w:bookmarkStart w:name="z88" w:id="70"/>
    <w:p>
      <w:pPr>
        <w:spacing w:after="0"/>
        <w:ind w:left="0"/>
        <w:jc w:val="both"/>
      </w:pPr>
      <w:r>
        <w:rPr>
          <w:rFonts w:ascii="Times New Roman"/>
          <w:b w:val="false"/>
          <w:i w:val="false"/>
          <w:color w:val="000000"/>
          <w:sz w:val="28"/>
        </w:rPr>
        <w:t>
      Дата: "___" ______________20__г.</w:t>
      </w:r>
    </w:p>
    <w:bookmarkEnd w:id="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работников центров трудовой</w:t>
            </w:r>
            <w:r>
              <w:br/>
            </w:r>
            <w:r>
              <w:rPr>
                <w:rFonts w:ascii="Times New Roman"/>
                <w:b w:val="false"/>
                <w:i w:val="false"/>
                <w:color w:val="000000"/>
                <w:sz w:val="20"/>
              </w:rPr>
              <w:t>мобильности и 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1"/>
    <w:p>
      <w:pPr>
        <w:spacing w:after="0"/>
        <w:ind w:left="0"/>
        <w:jc w:val="left"/>
      </w:pPr>
      <w:r>
        <w:rPr>
          <w:rFonts w:ascii="Times New Roman"/>
          <w:b/>
          <w:i w:val="false"/>
          <w:color w:val="000000"/>
        </w:rPr>
        <w:t xml:space="preserve"> Стандарт учебного курса (модуля)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карты бизнес-процессов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квалификации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2"/>
    <w:p>
      <w:pPr>
        <w:spacing w:after="0"/>
        <w:ind w:left="0"/>
        <w:jc w:val="both"/>
      </w:pPr>
      <w:r>
        <w:rPr>
          <w:rFonts w:ascii="Times New Roman"/>
          <w:b w:val="false"/>
          <w:i w:val="false"/>
          <w:color w:val="000000"/>
          <w:sz w:val="28"/>
        </w:rPr>
        <w:t>
      К концу учебного курса слушатели будут знать:</w:t>
      </w:r>
    </w:p>
    <w:bookmarkEnd w:id="72"/>
    <w:bookmarkStart w:name="z93" w:id="73"/>
    <w:p>
      <w:pPr>
        <w:spacing w:after="0"/>
        <w:ind w:left="0"/>
        <w:jc w:val="both"/>
      </w:pPr>
      <w:r>
        <w:rPr>
          <w:rFonts w:ascii="Times New Roman"/>
          <w:b w:val="false"/>
          <w:i w:val="false"/>
          <w:color w:val="000000"/>
          <w:sz w:val="28"/>
        </w:rPr>
        <w:t>
      _________________________________________________________________</w:t>
      </w:r>
    </w:p>
    <w:bookmarkEnd w:id="73"/>
    <w:bookmarkStart w:name="z94" w:id="74"/>
    <w:p>
      <w:pPr>
        <w:spacing w:after="0"/>
        <w:ind w:left="0"/>
        <w:jc w:val="both"/>
      </w:pPr>
      <w:r>
        <w:rPr>
          <w:rFonts w:ascii="Times New Roman"/>
          <w:b w:val="false"/>
          <w:i w:val="false"/>
          <w:color w:val="000000"/>
          <w:sz w:val="28"/>
        </w:rPr>
        <w:t>
      _________________________________________________________________</w:t>
      </w:r>
    </w:p>
    <w:bookmarkEnd w:id="74"/>
    <w:bookmarkStart w:name="z95" w:id="75"/>
    <w:p>
      <w:pPr>
        <w:spacing w:after="0"/>
        <w:ind w:left="0"/>
        <w:jc w:val="both"/>
      </w:pPr>
      <w:r>
        <w:rPr>
          <w:rFonts w:ascii="Times New Roman"/>
          <w:b w:val="false"/>
          <w:i w:val="false"/>
          <w:color w:val="000000"/>
          <w:sz w:val="28"/>
        </w:rPr>
        <w:t>
      _________________________________________________________________</w:t>
      </w:r>
    </w:p>
    <w:bookmarkEnd w:id="75"/>
    <w:bookmarkStart w:name="z96" w:id="76"/>
    <w:p>
      <w:pPr>
        <w:spacing w:after="0"/>
        <w:ind w:left="0"/>
        <w:jc w:val="both"/>
      </w:pPr>
      <w:r>
        <w:rPr>
          <w:rFonts w:ascii="Times New Roman"/>
          <w:b w:val="false"/>
          <w:i w:val="false"/>
          <w:color w:val="000000"/>
          <w:sz w:val="28"/>
        </w:rPr>
        <w:t>
      _________________________________________________________________</w:t>
      </w:r>
    </w:p>
    <w:bookmarkEnd w:id="76"/>
    <w:bookmarkStart w:name="z97" w:id="77"/>
    <w:p>
      <w:pPr>
        <w:spacing w:after="0"/>
        <w:ind w:left="0"/>
        <w:jc w:val="both"/>
      </w:pPr>
      <w:r>
        <w:rPr>
          <w:rFonts w:ascii="Times New Roman"/>
          <w:b w:val="false"/>
          <w:i w:val="false"/>
          <w:color w:val="000000"/>
          <w:sz w:val="28"/>
        </w:rPr>
        <w:t>
      Структура учебного курса: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Продолжи-тельность,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8"/>
    <w:p>
      <w:pPr>
        <w:spacing w:after="0"/>
        <w:ind w:left="0"/>
        <w:jc w:val="both"/>
      </w:pPr>
      <w:r>
        <w:rPr>
          <w:rFonts w:ascii="Times New Roman"/>
          <w:b w:val="false"/>
          <w:i w:val="false"/>
          <w:color w:val="000000"/>
          <w:sz w:val="28"/>
        </w:rPr>
        <w:t>
      Содержание учебного курса:</w:t>
      </w:r>
    </w:p>
    <w:bookmarkEnd w:id="78"/>
    <w:bookmarkStart w:name="z99" w:id="79"/>
    <w:p>
      <w:pPr>
        <w:spacing w:after="0"/>
        <w:ind w:left="0"/>
        <w:jc w:val="both"/>
      </w:pPr>
      <w:r>
        <w:rPr>
          <w:rFonts w:ascii="Times New Roman"/>
          <w:b w:val="false"/>
          <w:i w:val="false"/>
          <w:color w:val="000000"/>
          <w:sz w:val="28"/>
        </w:rPr>
        <w:t>
      _________________________________________________________________</w:t>
      </w:r>
    </w:p>
    <w:bookmarkEnd w:id="79"/>
    <w:bookmarkStart w:name="z100" w:id="80"/>
    <w:p>
      <w:pPr>
        <w:spacing w:after="0"/>
        <w:ind w:left="0"/>
        <w:jc w:val="both"/>
      </w:pPr>
      <w:r>
        <w:rPr>
          <w:rFonts w:ascii="Times New Roman"/>
          <w:b w:val="false"/>
          <w:i w:val="false"/>
          <w:color w:val="000000"/>
          <w:sz w:val="28"/>
        </w:rPr>
        <w:t>
      _________________________________________________________________</w:t>
      </w:r>
    </w:p>
    <w:bookmarkEnd w:id="80"/>
    <w:bookmarkStart w:name="z101" w:id="81"/>
    <w:p>
      <w:pPr>
        <w:spacing w:after="0"/>
        <w:ind w:left="0"/>
        <w:jc w:val="both"/>
      </w:pPr>
      <w:r>
        <w:rPr>
          <w:rFonts w:ascii="Times New Roman"/>
          <w:b w:val="false"/>
          <w:i w:val="false"/>
          <w:color w:val="000000"/>
          <w:sz w:val="28"/>
        </w:rPr>
        <w:t>
      _________________________________________________________________</w:t>
      </w:r>
    </w:p>
    <w:bookmarkEnd w:id="81"/>
    <w:bookmarkStart w:name="z102" w:id="82"/>
    <w:p>
      <w:pPr>
        <w:spacing w:after="0"/>
        <w:ind w:left="0"/>
        <w:jc w:val="both"/>
      </w:pPr>
      <w:r>
        <w:rPr>
          <w:rFonts w:ascii="Times New Roman"/>
          <w:b w:val="false"/>
          <w:i w:val="false"/>
          <w:color w:val="000000"/>
          <w:sz w:val="28"/>
        </w:rPr>
        <w:t>
      _________________________________________________________________</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