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77b0" w14:textId="5747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 сессии маслихата области Ұлытау от 18 мая 2023 года № 23 "Об утверждении Правил выпаса сельскохозяйственных животных в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18 декабря 2024 года № 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от 18 мая 2023 года №23 "Об утверждении Правил выпаса сельскохозяйственных животных в области Ұлытау"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в области Ұлытау,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выпаса сельскохозяйственных животных в области Ұлытау используются следующие понятия: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имеющее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пользования)"."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Пастбища, в том числе общественные пастбища,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" О пастбищах.";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Выпас на пастбищах,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реализацию Плана и представляют ежегодный отчет о ходе его реализации органу местного самоуправления (сходу местного сообщества);".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