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9b570" w14:textId="d89b5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пилотного проекта по размещению государственного образовательного заказа на дошкольное воспитание и обучение с учетом персонифицированного финансирования по получателям образовательных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просвещения Республики Казахстан от 29 февраля 2024 года № 53.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пунктом 2.3 Протокола совещания под председательством Премьер-Министра Республики Казахстан от 19 октября 2023 года № 16-04/Б-1355,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Запустить пилотный проект по размещению государственного образовательного заказа на дошкольное воспитание и обучение с учетом персонифицированного финансирования по получателям образовательных услуг (далее – Пилотный проект) в городах Шымкент, Тараз, Туркестан в период с 1 марта по 25 декабря 2024 года, в городе Уральск в период с 1 ноября 2024 года.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просвещения РК от 06.12.2024 </w:t>
      </w:r>
      <w:r>
        <w:rPr>
          <w:rFonts w:ascii="Times New Roman"/>
          <w:b w:val="false"/>
          <w:i w:val="false"/>
          <w:color w:val="000000"/>
          <w:sz w:val="28"/>
        </w:rPr>
        <w:t>№ 352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со дня подписания и распространяется на правоотношения, возникшие с 01.11.2024).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Алгоритм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Пилотного проекта согласно приложению 1 к настоящему приказу;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план-график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Пилотного проекта согласно приложению 2 к настоящему приказу.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дошкольного образования Министерства просвещения Республики Казахстан (Адамова М.Е.) обеспечить методологическое сопровождение Пилотного проекта и довести настоящий приказ до сведения местных исполнительных органов.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Департаменту цифровизации и автоматизации государственных услуг Министерства просвещения Республики Казахстан (Маралбаева М.Б.) обеспечить техническое сопровождение Пилотного проекта.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Определить оператором Пилотного проекта Акционерное общество "Финансовый центр" (Ибраимов А.И.).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приказа возложить на Первого вице-министра просвещения Республики Казахстан (Жумадильдаева Н.В.).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Настоящий приказ вступает в силу со дня его подписания и распространяется на правоотношения, возникшие с 1 марта 2024 года.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Бейсембаев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просвещения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"1" марта 2024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53 </w:t>
            </w:r>
          </w:p>
        </w:tc>
      </w:tr>
    </w:tbl>
    <w:bookmarkStart w:name="z2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Алгоритм проведения пилотного проекта по размещению государственного образовательного заказа на дошкольное воспитание и обучение с учетом персонифицированного финансирования по получателям образовательных услуг в городах Шымкент, Тараз, Туркестан и Уральск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Министра просвещения РК от 06.12.2024 </w:t>
      </w:r>
      <w:r>
        <w:rPr>
          <w:rFonts w:ascii="Times New Roman"/>
          <w:b w:val="false"/>
          <w:i w:val="false"/>
          <w:color w:val="ff0000"/>
          <w:sz w:val="28"/>
        </w:rPr>
        <w:t>№ 352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со дня подписания и распространяется на правоотношения, возникшие с 01.11.2024).</w:t>
      </w:r>
    </w:p>
    <w:bookmarkStart w:name="z2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 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Алгоритм проведения пилотного проекта по размещению государственного образовательного заказа на дошкольное воспитание и обучение с учетом персонифицированного финансирования по получателям образовательных услуг в городах Шымкент, Тараз, Туркестан и Уральск (далее – Пилотный проект) устанавливает последовательность действий при проведении Пилотного проекта.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просвещения РК от 06.12.2024 </w:t>
      </w:r>
      <w:r>
        <w:rPr>
          <w:rFonts w:ascii="Times New Roman"/>
          <w:b w:val="false"/>
          <w:i w:val="false"/>
          <w:color w:val="000000"/>
          <w:sz w:val="28"/>
        </w:rPr>
        <w:t>№ 352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со дня подписания и распространяется на правоотношения, возникшие с 01.11.2024).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Целью Пилотного проекта является обеспечение прозрачности процесса размещения государственного образовательного заказа на дошкольное воспитание и обучение через его персонифицирование по получателям образовательных услуг путем открытия банковских счетов.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Участниками Пилотного проекта являются: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 управления образованием (далее –Управление образования);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оператор, осуществляющий координацию деятельности участников подушевого нормативного финансирования (далее – Оператор);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банки второго уровня, присоединившиеся к договору присоединения (далее – БВУ);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дошкольные организации, включенные Управлением образования в перечень потенциальных поставщиков услуг по дошкольному воспитанию и обучению в рамках Пилотного проекта (далее – Перечень дошкольных организации);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родители или иные законные представители детей, входящих в сформированный Управлением образования контингент по государственному образовательному заказу на дошкольное воспитание и обучение в рамках Пилотного проекта (далее – Родители и (или) законные представители).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Дошкольные организации участвуют в Пилотном проекте после их включения в Перечень дошкольных организации, который формируется органом Управления образованием.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Формирование Перечня осуществляется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размещения государственного образовательного заказа на подготовку кадров с техническим и профессиональным, послесредним образованием с учетом потребностей рынка труда, а также на дошкольное воспитание и обучение, среднее образование и дополнительное образование детей, утвержденными приказом Министра просвещения Республики Казахстан от 27 августа 2022 года № 381 (зарегистрированный в Реестре государственной регистрации нормативных правовых актов под № 29323).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размещения государственного образовательного заказа на дошкольное воспитание и обучение с учетом персонифицированного финансирования по получателям образовательных услуг (далее – Госзаказ) в рамках Пилотного проекта Управлением образования формируется список детей, получающих Госзаказ.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Госзаказа по новым Родителям и (или) законным представителям осуществляется в порядке, установленном действующим законодательством, за исключением города Тараз, в котором распределение осуществляется в порядке согласно приложению к настоящему Алгоритму.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Дошкольная организация определяется Родителем и (или) законным представителем, из числа дошкольных организаций, входящих в Перечень дошкольных организации в рамках Пилотного проекта и в пределах проектной мощности дошкольной организации.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определения дошкольной организации является договор оказания образовательных услуг для дошкольных организаций, заключенный между дошкольной организацией и Родителем и (или) законным представителем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28 января 2016 года № 93 "Об утверждении форм типового договора оказания образовательных услуг для дошкольных организаций, организаций среднего, технического и профессионального, послесреднего образования, типового договора на проведение профессиональной практики и типового договора о дуальном обучении для организаций технического и профессионального, послесреднего образования" (зарегистрированный в Реестре государственной регистрации нормативных правовых актов под № 13227).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смене дошкольной организации в пределах одного населенного пункта Госзаказ сохраняется за Родителями.</w:t>
      </w:r>
    </w:p>
    <w:bookmarkEnd w:id="26"/>
    <w:bookmarkStart w:name="z3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Действия участников Пилотного проекта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рамках Пилотного проекта размещение Госзаказа осуществляется путем следующих последовательных действий: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Управлением образования объема Госзаказа для дальнейшего его размещения;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Оператором в Управление образования и БВУ договора присоединения на бумажном носителе для дальнейшего подписания.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Договором присоединения предусматриваются условия взаимодействия сторон, являющихся участниками Пилотного проекта, форма которого утверждается Оператором.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Подписанный сторонами договор присоединения размещается на официальном сайте Оператора. В целях присоединения Родителей и (или) законных представителей и дошкольных организаций к договору присоединения Оператор направляет в БВУ ссылку на официальный сайт, на котором размещен подписанный договор присоединения. При этом последний обеспечивает размещение ссылки в информационной системе и (или) мобильном приложении.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изменений и (или) дополнений в договор присоединения, не влекущих новые обязательства его сторон, не требует повторного подписания;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Управлением образования Оператору сформированного Перечня и списка детей, получающих Госзаказ в сроки, указанные в договоре присоединения, заключенном согласно подпункту 2) настоящего пункта;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проверка Оператором, не позднее 5 (пяти) рабочих дней после получения от Управления образования, сформированного Перечня и списка детей, получающих Госзаказ на предмет соответствия содержащихся в них данных с данными информационных систем местных исполнительных органов, в том числе Национальной образовательной базы данных (далее – НОБД).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выявления несоответствия данных дошкольных организаций, указанных в Перечне, и (или) данных детей, получающих Госзаказ, указанных в списке, такие данные подлежат верификации в системе управления рисками Оператора. При подтверждении Оператором корректности данных по итогам их верификации в системе управления рисками Оператора, последний дополняет данные детей, получающих Госзаказ, указанных в списке и (или) данные дошкольных организаций, указанных в Перечне, путем оформления протокола Оператора.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иных случаях Оператор уведомляет Управление образования о необходимости исключении из Пилотного проекта детей и (или) дошкольных организаций, данные о которых не соответствуют данным информационных систем, в том числе НОБД;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Оператор направляет в БВУ список детей, получающих Госзаказ, для открытия банковских счетов.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 Оператором сведений о детях и их родителях (законных представителях) в БВУ подтверждает соблюдение Оператором и БВУ требований Закона Республики Казахстан "О персональных данных и их защите";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БВУ на основании списка детей, получающих Госзаказ, предоставленного Оператором, уведомляет Родителей и (или) законных представителей о необходимости открытия банковского счета и направляет инструкцию по регистрации в мобильном приложении БВУ. Счет открывается персонально для каждого ребенка.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Открытие банковских счетов осуществляется в БВУ, присоединившимся к договору присоединения, указанному в подпункте 2) настоящего пункта, в рамках которого БВУ гарантируется соблюдение целевого назначения бюджетных средств, перечисляемых на банковские счета детей, и предназначенных для последующего безналичного перечисления в дошкольные организации, включенные в Перечень дошкольных организаций, за оказанные ими образовательные услуги соответствующим детям в рамках размещения Госзаказа;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Родители и (или) законные представители регистрируются в мобильном приложении БВУ после получения уведомления от БВУ и подписывают договор банковского счета по форме, утвержденной БВУ;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БВУ на основании Перечня дошкольных организации направляет уведомление в дошкольные организации о необходимости регистрации в информационной системе и (или) мобильном приложении БВУ.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дошкольным организациям, ранее зарегистрированным в информационной системе и (или) мобильном приложении БВУ, повторная регистрация не требуется;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БВУ ежемесячно до 5 числа направляет Оператору список детей, на которых произведено открытие банковского счета по форме, утвержденной Оператором.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регистрации со стороны Родителей и (или) законных представителей в мобильном приложении БВУ, последний направляет Оператору список детей, родители или законные представители, которых не осуществили регистрацию в мобильном приложении БВУ.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данной категории Родителей и (или) законных представителей размещение Госзаказа осуществляется напрямую в дошкольную организацию на основании данных табеля посещаемости. При этом Родители и (или) законные представители, не осуществившие открытие банковских счетов и не зарегистрировавшиеся в мобильном приложении БВУ, подлежат верификации в системе управления рисками Оператора;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Родители и (или) законные представители выбирают посредством информационной системы и (или) мобильного приложения БВУ подходящие дошкольные организации, с которыми подписывают электронный договор об оказании образовательных услуг по дошкольному воспитанию и обучению (далее – Договор образовательных услуг), за исключением случаев, когда между родителем и дошкольной организацией уже имеется действующий Договор образовательных услуг.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Родители и (или) законные представители и дошкольные организации, подписывая Договор образовательных услуг, выражает согласие на присоединение к договору присоединения, указанному в подпункте 2) настоящего пункта.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Действующие Договоры образовательных услуг передаются в БВУ посредством передачи данных с информационных систем местных исполнительных органов.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данных целях в информационной системе и (или) мобильном приложении БВУ размещается предоставленный Оператором Перечень дошкольных организации;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Оператор в течение 2 (двух) рабочих дней после предоставления БВУ списка детей, на которых произведено открытие банковского счета, направляет в Управление образования заявку на перечисление средств Госзаказа с приложением расчетов размера Госзаказа по каждому ребенку, указанному в списке детей, получающих Госзаказ. При этом в заявке отдельно указываются сведения о детях, в отношении которых не были открыты банковские счета, по причине отсутствия регистрации Родителей и (или) законных представителей в мобильном приложении БВУ;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Управление образования, в течение 2 (двух) рабочих дней, осуществляет перечисление средств Оператору, который в соответствии с расчетом размера Госзаказа, производит перечисление средств на банковские счета детей в БВУ;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дошкольные организации на ежедневной основе заполняют табель посещаемости воспитанников дошкольной организации в информационной системе и (или) мобильном приложении БВУ;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табель посещаемости воспитанников дошкольной организации подлежит подтверждению со стороны Родителей и (или) законных представителей не позднее последнего дня отчетного месяца. В случае не подтверждения Родителем и (или) законным представителем табеля посещаемости воспитанников дошкольной организации в указанный срок, табель посещаемости воспитанников дошкольной организации автоматически считается подтвержденным со стороны Родителей и (или) законных представителей.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Родители и (или) законные представители и дошкольная организация самостоятельно несут ответственность в случае несогласования ими табеля в сроки, указанные в подпункте 16) настоящего пункта.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БВУ предоставляет Оператору список Родителей и (или) законных представителей, не осуществивших подтверждение табеля посещаемости воспитанников дошкольной организации.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непрерывном отсутствии подтверждения табеля посещаемости воспитанников дошкольной организации по истечении 2 (двух) месяцев со стороны Родителей и (или) законных представителей предоставленный Госзаказ аннулируется и дальнейшее перечисление средств на банковский счет прекращается;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 случае несогласия Родителей и (или) законных представителей с данными табеля посещаемости воспитанников дошкольной организации, заполненными дошкольной организацией, Родители и (или) законные представители заполняют причину несогласия в информационной системе и (или) мобильном приложении БВУ с приложением подтверждающих документов (при наличии);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дошкольная организация рассматривает причину несогласия Родителей и (или) законных представителей с данными табеля посещаемости воспитанников дошкольной организации и принимает решение: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согласии с замечаниями, путем внесения изменений в табель посещаемости воспитанников дошкольной организации, который подтверждается Родителем и (или) законным представителем в течение 2 (двух) календарных дней после его изменения в информационной системе и (или) мобильном приложении БВУ;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несогласии с указанием в информационной системе и (или) мобильном приложении БВУ причины несогласия. В данном случае оплата в дошкольную организацию производится по заполненной информации дошкольной организации, и информация по банковским счетам данной категории детей направляется БВУ Оператору для верификации в его системе управления рисками. В этом случае, целевое назначение денег, зачисляемых БВУ на счет дошкольной организации, считается исполненным.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БВУ не рассматривает возражения и требования Родителей и (или) законных представителей и дошкольных организаций в случае наличия у них спора при согласовании табеля посещаемости;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табеля посещаемости воспитанников дошкольной организации подлежат передаче в НОБД в течение 10 (десяти) рабочих дней по завершению отчетного месяца;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после подтверждения табеля посещаемости со стороны Родителей и (или) законных представителей, БВУ перечисляет деньги в размере, рассчитанном в соответствии с согласованным табелем, с банковских счетов детей на счета дошкольных организаций и направляет уведомление Родителям и (или) законным представителям об осуществлении оплаты.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Подтверждая табель посещаемости воспитанников дошкольной организации, Родители и (или) законные представители дают указание БВУ на перевод денег со счета ребенка на счет дошкольной организации по реквизитам и в день, указанные в табеле.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Перечисление бюджетных средств с банковского счета, открытого на имя одного ребенка, на счет дошкольной организаций в целях оплаты образовательных услуг за другого ребенка не допускается.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наличных денег с банковских счетов детей, открытых в рамках Пилотного проекта, не допускается.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средства, оставшиеся неиспользованными по состоянию на 1 января финансового года на банковских счетах, подлежат безакцептному возврату Оператору в течение 5 (пяти) рабочих дней.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Оплата за оказание образовательных услуг по дошкольному воспитанию и обучению производится в следующих случаях: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посещении ребенком дошкольной организации без пропусков – оплачивается Госзаказ и родительская плата в полном объеме;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отсутствии ребенка по болезни, лечению, реабилитации в медицинских и иных организациях (при предоставлении справки) – оплачивается Госзаказ и родительская плата в полном объеме;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отсутствии ребенка без уважительной причины менее 3 (трех) дней в месяц – оплачивается Госзаказ и родительская плата в полном объеме;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отсутствии ребенка без уважительной причины более 3 (трех) дней в месяц – оплачивается родительская плата за дни отсутствия, превышающие 3 (трех) дней, Госзаказ оплачивается только за допустимые дни отсутствия, указанные в подпункте 3) настоящего пункта;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 отсутствии ребенка на время отпуска одного из родителей или законных представителей не более 60 (шестидесяти) дней в год (при предоставлении письменного заявления одного из родителей или законного представителя) – оплачивается Госзаказ в полном объеме, не оплачивается родительская плата.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случае переплаты и (или) недофинансирования Госзаказа в отчетном месяце допускается перерасчет в следующем месяце.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расторжении договора банковского счета с БВУ, Госзаказ аннулируется. При наличии остатка денег на счете ребенка в случае расторжения Родителем и (или) законным представителем договора банковского счета, деньги подлежат возврату в течение 5 (пяти) рабочих дней по реквизитам, предоставленным Оператором путем безакцептного дебетования счета ребенка.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Перевод воспитанников с одной дошкольной организации в другую осуществляется только 1 (первого) числа каждого месяца.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переезда ребенка в другой населенный пункт Госзаказ аннулируется.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случае смерти ребенка Госзаказ аннулируется.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Мониторинг за качеством и (или) объемом оказываемых образовательных услуг в рамках размещенного Госзаказа в рамках Пилотного проекта ведется участниками Пилотного проекта.</w:t>
      </w:r>
    </w:p>
    <w:bookmarkEnd w:id="81"/>
    <w:bookmarkStart w:name="z92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Заключительные положения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 завершении Пилотного проекта Управления образования городов Шымкент, Тараз, Туркестан и Уральск, а также Оператор информируют Министерство просвещения Республики Казахстан о результатах проведения Пилотного проекта с предложениями по его совершенствованию (при наличии).</w:t>
      </w:r>
    </w:p>
    <w:bookmarkEnd w:id="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15 - в редакции приказа Министра просвещения РК от 06.12.2024 </w:t>
      </w:r>
      <w:r>
        <w:rPr>
          <w:rFonts w:ascii="Times New Roman"/>
          <w:b w:val="false"/>
          <w:i w:val="false"/>
          <w:color w:val="000000"/>
          <w:sz w:val="28"/>
        </w:rPr>
        <w:t>№ 352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со дня подписания и распространяется на правоотношения, возникшие с 01.11.2024).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Алгоритму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проведения пилотного проекта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размещению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образовательного заказа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дошкольное воспитание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обучение с учетом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персонифицированного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финансирования по получателям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образовательных услуг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городах Шымкент, Тараз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Туркестан </w:t>
            </w:r>
          </w:p>
        </w:tc>
      </w:tr>
    </w:tbl>
    <w:bookmarkStart w:name="z95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распределения государственного образовательного заказа на дошкольное воспитание и обучение с учетом персонифицированного финансирования по новым получателям образовательных услуг города Тараз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Распределение государственного образовательного заказа на дошкольное воспитание и обучение с учетом персонифицированного финансирования по новым получателям образовательных услуг осуществляется в информационной системе местного исполнительного органа путем принятия следующих последовательных действий: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распределение поданных заявлений на постановку в очередь детей дошкольного возраста по приоритетным категориям, определенным в таблице 1. При этом, при распределении заявлений учитывается фактическое проживание Услугополучателей;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присвоение номера очереди по каждому поданному заявлению на постановку в очередь детей дошкольного возраста. Номер очереди присваивается по каждой приоритетной категории отдельно, исходя из даты подачи заявления на постановку в очередь для получения услуг дошкольного воспитания и обучения;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уведомления о постановке в очередь с указанием номера очередности в личный кабинет Услугополучателя в информационной системе местного исполнительного органа;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определение фактического объема государственного образовательного заказа на дошкольное воспитание и обучение с учетом персонифицированного финансирования по новым получателям образовательных услуг по следующей формуле: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</w:t>
      </w:r>
      <w:r>
        <w:rPr>
          <w:rFonts w:ascii="Times New Roman"/>
          <w:b w:val="false"/>
          <w:i w:val="false"/>
          <w:color w:val="000000"/>
          <w:vertAlign w:val="subscript"/>
        </w:rPr>
        <w:t>f</w:t>
      </w:r>
      <w:r>
        <w:rPr>
          <w:rFonts w:ascii="Times New Roman"/>
          <w:b w:val="false"/>
          <w:i w:val="false"/>
          <w:color w:val="000000"/>
          <w:sz w:val="28"/>
        </w:rPr>
        <w:t xml:space="preserve"> = V</w:t>
      </w:r>
      <w:r>
        <w:rPr>
          <w:rFonts w:ascii="Times New Roman"/>
          <w:b w:val="false"/>
          <w:i w:val="false"/>
          <w:color w:val="000000"/>
          <w:vertAlign w:val="subscript"/>
        </w:rPr>
        <w:t>p</w:t>
      </w:r>
      <w:r>
        <w:rPr>
          <w:rFonts w:ascii="Times New Roman"/>
          <w:b w:val="false"/>
          <w:i w:val="false"/>
          <w:color w:val="000000"/>
          <w:sz w:val="28"/>
        </w:rPr>
        <w:t xml:space="preserve"> если V</w:t>
      </w:r>
      <w:r>
        <w:rPr>
          <w:rFonts w:ascii="Times New Roman"/>
          <w:b w:val="false"/>
          <w:i w:val="false"/>
          <w:color w:val="000000"/>
          <w:vertAlign w:val="subscript"/>
        </w:rPr>
        <w:t>p</w:t>
      </w:r>
      <w:r>
        <w:rPr>
          <w:rFonts w:ascii="Times New Roman"/>
          <w:b w:val="false"/>
          <w:i w:val="false"/>
          <w:color w:val="000000"/>
          <w:sz w:val="28"/>
        </w:rPr>
        <w:t xml:space="preserve"> ≤ S</w:t>
      </w:r>
      <w:r>
        <w:rPr>
          <w:rFonts w:ascii="Times New Roman"/>
          <w:b w:val="false"/>
          <w:i w:val="false"/>
          <w:color w:val="000000"/>
          <w:vertAlign w:val="subscript"/>
        </w:rPr>
        <w:t>r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</w:t>
      </w:r>
      <w:r>
        <w:rPr>
          <w:rFonts w:ascii="Times New Roman"/>
          <w:b w:val="false"/>
          <w:i w:val="false"/>
          <w:color w:val="000000"/>
          <w:vertAlign w:val="subscript"/>
        </w:rPr>
        <w:t>f</w:t>
      </w:r>
      <w:r>
        <w:rPr>
          <w:rFonts w:ascii="Times New Roman"/>
          <w:b w:val="false"/>
          <w:i w:val="false"/>
          <w:color w:val="000000"/>
          <w:sz w:val="28"/>
        </w:rPr>
        <w:t xml:space="preserve"> = S</w:t>
      </w:r>
      <w:r>
        <w:rPr>
          <w:rFonts w:ascii="Times New Roman"/>
          <w:b w:val="false"/>
          <w:i w:val="false"/>
          <w:color w:val="000000"/>
          <w:vertAlign w:val="subscript"/>
        </w:rPr>
        <w:t>r</w:t>
      </w:r>
      <w:r>
        <w:rPr>
          <w:rFonts w:ascii="Times New Roman"/>
          <w:b w:val="false"/>
          <w:i w:val="false"/>
          <w:color w:val="000000"/>
          <w:sz w:val="28"/>
        </w:rPr>
        <w:t xml:space="preserve"> если V</w:t>
      </w:r>
      <w:r>
        <w:rPr>
          <w:rFonts w:ascii="Times New Roman"/>
          <w:b w:val="false"/>
          <w:i w:val="false"/>
          <w:color w:val="000000"/>
          <w:vertAlign w:val="subscript"/>
        </w:rPr>
        <w:t>p</w:t>
      </w:r>
      <w:r>
        <w:rPr>
          <w:rFonts w:ascii="Times New Roman"/>
          <w:b w:val="false"/>
          <w:i w:val="false"/>
          <w:color w:val="000000"/>
          <w:sz w:val="28"/>
        </w:rPr>
        <w:t xml:space="preserve"> &gt; S</w:t>
      </w:r>
      <w:r>
        <w:rPr>
          <w:rFonts w:ascii="Times New Roman"/>
          <w:b w:val="false"/>
          <w:i w:val="false"/>
          <w:color w:val="000000"/>
          <w:vertAlign w:val="subscript"/>
        </w:rPr>
        <w:t>r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</w:t>
      </w:r>
    </w:p>
    <w:bookmarkEnd w:id="92"/>
    <w:bookmarkStart w:name="z10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</w:t>
      </w:r>
      <w:r>
        <w:rPr>
          <w:rFonts w:ascii="Times New Roman"/>
          <w:b w:val="false"/>
          <w:i w:val="false"/>
          <w:color w:val="000000"/>
          <w:vertAlign w:val="subscript"/>
        </w:rPr>
        <w:t>f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фактический объем государственного образовательного заказа на дошкольное воспитание и обучение с учетом персонифицированного финансирования по новым получателям образовательных услуг;</w:t>
      </w:r>
    </w:p>
    <w:bookmarkEnd w:id="93"/>
    <w:bookmarkStart w:name="z10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</w:t>
      </w:r>
      <w:r>
        <w:rPr>
          <w:rFonts w:ascii="Times New Roman"/>
          <w:b w:val="false"/>
          <w:i w:val="false"/>
          <w:color w:val="000000"/>
          <w:vertAlign w:val="subscript"/>
        </w:rPr>
        <w:t>p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прогнозный объем государственного образовательного заказа на дошкольное воспитание и обучение с учетом персонифицированного финансирования по новым получателям образовательных услуг;</w:t>
      </w:r>
    </w:p>
    <w:bookmarkEnd w:id="94"/>
    <w:bookmarkStart w:name="z10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</w:t>
      </w:r>
      <w:r>
        <w:rPr>
          <w:rFonts w:ascii="Times New Roman"/>
          <w:b w:val="false"/>
          <w:i w:val="false"/>
          <w:color w:val="000000"/>
          <w:vertAlign w:val="subscript"/>
        </w:rPr>
        <w:t>r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количество зарегистрированных заявлений по каждой приоритетной категории;</w:t>
      </w:r>
    </w:p>
    <w:bookmarkEnd w:id="95"/>
    <w:bookmarkStart w:name="z10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a) V</w:t>
      </w:r>
      <w:r>
        <w:rPr>
          <w:rFonts w:ascii="Times New Roman"/>
          <w:b w:val="false"/>
          <w:i w:val="false"/>
          <w:color w:val="000000"/>
          <w:vertAlign w:val="subscript"/>
        </w:rPr>
        <w:t>p</w:t>
      </w:r>
      <w:r>
        <w:rPr>
          <w:rFonts w:ascii="Times New Roman"/>
          <w:b w:val="false"/>
          <w:i w:val="false"/>
          <w:color w:val="000000"/>
          <w:sz w:val="28"/>
        </w:rPr>
        <w:t xml:space="preserve"> = V</w:t>
      </w:r>
      <w:r>
        <w:rPr>
          <w:rFonts w:ascii="Times New Roman"/>
          <w:b w:val="false"/>
          <w:i w:val="false"/>
          <w:color w:val="000000"/>
          <w:vertAlign w:val="subscript"/>
        </w:rPr>
        <w:t>g</w:t>
      </w:r>
      <w:r>
        <w:rPr>
          <w:rFonts w:ascii="Times New Roman"/>
          <w:b w:val="false"/>
          <w:i w:val="false"/>
          <w:color w:val="000000"/>
          <w:sz w:val="28"/>
        </w:rPr>
        <w:t xml:space="preserve"> / ∑k</w:t>
      </w:r>
    </w:p>
    <w:bookmarkEnd w:id="96"/>
    <w:bookmarkStart w:name="z10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</w:t>
      </w:r>
    </w:p>
    <w:bookmarkEnd w:id="97"/>
    <w:bookmarkStart w:name="z10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</w:t>
      </w:r>
      <w:r>
        <w:rPr>
          <w:rFonts w:ascii="Times New Roman"/>
          <w:b w:val="false"/>
          <w:i w:val="false"/>
          <w:color w:val="000000"/>
          <w:vertAlign w:val="subscript"/>
        </w:rPr>
        <w:t>g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удельный вес по каждой приоритетной категории в общем объеме государственного образовательного заказа на дошкольное воспитание и обучение с учетом персонифицированного финансирования по новым получателям образовательных услуг;</w:t>
      </w:r>
    </w:p>
    <w:bookmarkEnd w:id="98"/>
    <w:bookmarkStart w:name="z11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 – коэффициент по каждой приоритетной группе, определенный в таблице 1;</w:t>
      </w:r>
    </w:p>
    <w:bookmarkEnd w:id="99"/>
    <w:bookmarkStart w:name="z11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b) V</w:t>
      </w:r>
      <w:r>
        <w:rPr>
          <w:rFonts w:ascii="Times New Roman"/>
          <w:b w:val="false"/>
          <w:i w:val="false"/>
          <w:color w:val="000000"/>
          <w:vertAlign w:val="subscript"/>
        </w:rPr>
        <w:t>g</w:t>
      </w:r>
      <w:r>
        <w:rPr>
          <w:rFonts w:ascii="Times New Roman"/>
          <w:b w:val="false"/>
          <w:i w:val="false"/>
          <w:color w:val="000000"/>
          <w:sz w:val="28"/>
        </w:rPr>
        <w:t xml:space="preserve"> = V</w:t>
      </w:r>
      <w:r>
        <w:rPr>
          <w:rFonts w:ascii="Times New Roman"/>
          <w:b w:val="false"/>
          <w:i w:val="false"/>
          <w:color w:val="000000"/>
          <w:vertAlign w:val="subscript"/>
        </w:rPr>
        <w:t>t</w:t>
      </w:r>
      <w:r>
        <w:rPr>
          <w:rFonts w:ascii="Times New Roman"/>
          <w:b w:val="false"/>
          <w:i w:val="false"/>
          <w:color w:val="000000"/>
          <w:sz w:val="28"/>
        </w:rPr>
        <w:t xml:space="preserve"> * k</w:t>
      </w:r>
    </w:p>
    <w:bookmarkEnd w:id="100"/>
    <w:bookmarkStart w:name="z11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</w:t>
      </w:r>
    </w:p>
    <w:bookmarkEnd w:id="101"/>
    <w:bookmarkStart w:name="z11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</w:t>
      </w:r>
      <w:r>
        <w:rPr>
          <w:rFonts w:ascii="Times New Roman"/>
          <w:b w:val="false"/>
          <w:i w:val="false"/>
          <w:color w:val="000000"/>
          <w:vertAlign w:val="subscript"/>
        </w:rPr>
        <w:t>t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общий выделенный объем государственного образовательного заказа на дошкольное воспитание и обучение с учетом персонифицированного финансирования по новым получателям образовательных услуг. </w:t>
      </w:r>
    </w:p>
    <w:bookmarkEnd w:id="102"/>
    <w:bookmarkStart w:name="z11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∑ V</w:t>
      </w:r>
      <w:r>
        <w:rPr>
          <w:rFonts w:ascii="Times New Roman"/>
          <w:b w:val="false"/>
          <w:i w:val="false"/>
          <w:color w:val="000000"/>
          <w:vertAlign w:val="subscript"/>
        </w:rPr>
        <w:t>f</w:t>
      </w:r>
      <w:r>
        <w:rPr>
          <w:rFonts w:ascii="Times New Roman"/>
          <w:b w:val="false"/>
          <w:i w:val="false"/>
          <w:color w:val="000000"/>
          <w:sz w:val="28"/>
        </w:rPr>
        <w:t xml:space="preserve"> &lt; V</w:t>
      </w:r>
      <w:r>
        <w:rPr>
          <w:rFonts w:ascii="Times New Roman"/>
          <w:b w:val="false"/>
          <w:i w:val="false"/>
          <w:color w:val="000000"/>
          <w:vertAlign w:val="subscript"/>
        </w:rPr>
        <w:t>t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алгоритм действий, указанный в подпункте 4) настоящего пункта подлежит повторению;</w:t>
      </w:r>
    </w:p>
    <w:bookmarkEnd w:id="103"/>
    <w:bookmarkStart w:name="z11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алгоритм действий, указанный в подпункте 4) настоящего пункта подлежит повторению до достижения следующего равенства ∑ V</w:t>
      </w:r>
      <w:r>
        <w:rPr>
          <w:rFonts w:ascii="Times New Roman"/>
          <w:b w:val="false"/>
          <w:i w:val="false"/>
          <w:color w:val="000000"/>
          <w:vertAlign w:val="subscript"/>
        </w:rPr>
        <w:t>f</w:t>
      </w:r>
      <w:r>
        <w:rPr>
          <w:rFonts w:ascii="Times New Roman"/>
          <w:b w:val="false"/>
          <w:i w:val="false"/>
          <w:color w:val="000000"/>
          <w:sz w:val="28"/>
        </w:rPr>
        <w:t xml:space="preserve"> = V</w:t>
      </w:r>
      <w:r>
        <w:rPr>
          <w:rFonts w:ascii="Times New Roman"/>
          <w:b w:val="false"/>
          <w:i w:val="false"/>
          <w:color w:val="000000"/>
          <w:vertAlign w:val="subscript"/>
        </w:rPr>
        <w:t>t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</w:p>
    <w:bookmarkEnd w:id="104"/>
    <w:bookmarkStart w:name="z11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распределение фактического объема государственного образовательного заказа на дошкольное воспитание и обучение с учетом персонифицированного финансирования по новым получателям образовательных услуг осуществляется последовательно, начиная с приоритетной категории № 1 до приоритетной категории № 16, предусмотренных в таблице к данному порядку в соответствии со следующей формулой:</w:t>
      </w:r>
    </w:p>
    <w:bookmarkEnd w:id="105"/>
    <w:bookmarkStart w:name="z11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D </w:t>
      </w:r>
      <w:r>
        <w:rPr>
          <w:rFonts w:ascii="Times New Roman"/>
          <w:b w:val="false"/>
          <w:i w:val="false"/>
          <w:color w:val="000000"/>
          <w:vertAlign w:val="subscript"/>
        </w:rPr>
        <w:t>vf(n)</w:t>
      </w:r>
      <w:r>
        <w:rPr>
          <w:rFonts w:ascii="Times New Roman"/>
          <w:b w:val="false"/>
          <w:i w:val="false"/>
          <w:color w:val="000000"/>
          <w:sz w:val="28"/>
        </w:rPr>
        <w:t xml:space="preserve"> = k</w:t>
      </w:r>
      <w:r>
        <w:rPr>
          <w:rFonts w:ascii="Times New Roman"/>
          <w:b w:val="false"/>
          <w:i w:val="false"/>
          <w:color w:val="000000"/>
          <w:vertAlign w:val="subscript"/>
        </w:rPr>
        <w:t>n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случае D</w:t>
      </w:r>
      <w:r>
        <w:rPr>
          <w:rFonts w:ascii="Times New Roman"/>
          <w:b w:val="false"/>
          <w:i w:val="false"/>
          <w:color w:val="000000"/>
          <w:vertAlign w:val="subscript"/>
        </w:rPr>
        <w:t>vf(n-1)</w:t>
      </w:r>
      <w:r>
        <w:rPr>
          <w:rFonts w:ascii="Times New Roman"/>
          <w:b w:val="false"/>
          <w:i w:val="false"/>
          <w:color w:val="000000"/>
          <w:sz w:val="28"/>
        </w:rPr>
        <w:t xml:space="preserve"> = k </w:t>
      </w:r>
      <w:r>
        <w:rPr>
          <w:rFonts w:ascii="Times New Roman"/>
          <w:b w:val="false"/>
          <w:i w:val="false"/>
          <w:color w:val="000000"/>
          <w:vertAlign w:val="subscript"/>
        </w:rPr>
        <w:t>(n-1)</w:t>
      </w:r>
    </w:p>
    <w:bookmarkEnd w:id="106"/>
    <w:bookmarkStart w:name="z11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 </w:t>
      </w:r>
    </w:p>
    <w:bookmarkEnd w:id="107"/>
    <w:bookmarkStart w:name="z11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 – количество государственного образовательного заказа на дошкольное воспитание и обучение с учетом персонифицированного финансирования по новым получателям образовательных услуг;</w:t>
      </w:r>
    </w:p>
    <w:bookmarkEnd w:id="108"/>
    <w:bookmarkStart w:name="z12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– номер категории.</w:t>
      </w:r>
    </w:p>
    <w:bookmarkEnd w:id="109"/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D</w:t>
      </w:r>
      <w:r>
        <w:rPr>
          <w:rFonts w:ascii="Times New Roman"/>
          <w:b w:val="false"/>
          <w:i w:val="false"/>
          <w:color w:val="000000"/>
          <w:vertAlign w:val="subscript"/>
        </w:rPr>
        <w:t>vf(n)</w:t>
      </w:r>
      <w:r>
        <w:rPr>
          <w:rFonts w:ascii="Times New Roman"/>
          <w:b w:val="false"/>
          <w:i w:val="false"/>
          <w:color w:val="000000"/>
          <w:sz w:val="28"/>
        </w:rPr>
        <w:t xml:space="preserve"> = V</w:t>
      </w:r>
      <w:r>
        <w:rPr>
          <w:rFonts w:ascii="Times New Roman"/>
          <w:b w:val="false"/>
          <w:i w:val="false"/>
          <w:color w:val="000000"/>
          <w:vertAlign w:val="subscript"/>
        </w:rPr>
        <w:t>f(n)</w:t>
      </w:r>
      <w:r>
        <w:rPr>
          <w:rFonts w:ascii="Times New Roman"/>
          <w:b w:val="false"/>
          <w:i w:val="false"/>
          <w:color w:val="000000"/>
          <w:sz w:val="28"/>
        </w:rPr>
        <w:t xml:space="preserve"> итерация начинается со следующей приоритетной категории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алгоритм действий, указанный в подпункте 7) подлежит поэтапному повторению до момента обнуления коэффициента V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f </w:t>
      </w:r>
      <w:r>
        <w:rPr>
          <w:rFonts w:ascii="Times New Roman"/>
          <w:b w:val="false"/>
          <w:i w:val="false"/>
          <w:color w:val="000000"/>
          <w:sz w:val="28"/>
        </w:rPr>
        <w:t>по каждой приоритетной категории отдельно.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Распределение Госзаказа по детям военнослужащих, в том числе тех, которые погибли, умерли или пропали без вести во время прохождения службы осуществляется в порядке, установленном действующим законодательством Республики Казахстан.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информационной системе местного исполнительного органа осуществляется актуализация очереди путем перехода заявлений с одной категории в другую с учетом возраста и социального статуса. При этом переход заявления осуществляется по первоначальной дате и времени подачи заявления.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Актуализация очереди осуществляется по фактическому возрасту ребенка на 1 января текущего года с добавлением к нему 6 (шести) месяцев.</w:t>
      </w:r>
    </w:p>
    <w:bookmarkEnd w:id="1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Таблица 1. Приоритетные категории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Номер категории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Приоритетные категории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Коэффициент группы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многодетные семьи, дети в возрасте от 3 и старше, по дате постановки в очередь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в возрасте 5 лет, в категорию из числа иных СУСН, по дате постановки в очередь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неполные семьи, дети в возрасте 4 и более лет, в категорию из числа иных СУСН, по дате постановки в очередь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в возрасте 4 и более лет, в категорию из числа иных СУСН, по дате постановки в очередь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в очереди, по возрасту достигшие 5 лет, по дате постановки в очередь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многодетные семьи, дети в возрасте 2 года, по дате постановки в очередь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в возрасте 3 и более лет, в категорию из числа СУСН, по дате постановки в очередь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в очереди, по возрасту достигшие 4 года, по дате постановки в очередь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в возрасте 2 лет, в категорию из числа СУСН, по дате постановки в очередь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в возрасте 3 лет, полнокровные братья и сестры устроенные в ДВИО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в возрасте 2 лет, в категорию из числа СУСН, по дате постановки в очередь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в возрасте 2 лет, полнокровные братья и сестры устроенные в ДВИО, по дате постановки в очередь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многодетные семьи, дети в возрасте 1 года, по дате постановки в очередь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в очереди, возраст 2 года, по дате постановки в очередь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в очереди, возраст достиг 1 года, входящую в категорию СУСН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в очереди, возраст достиг 1 года и менее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"1" марта 2024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</w:t>
            </w:r>
          </w:p>
        </w:tc>
      </w:tr>
    </w:tbl>
    <w:bookmarkStart w:name="z132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План-график проведения пилотного проекта по размещению государственного образовательного заказа на дошкольное воспитание и обучение с учетом персонифицированного финансирования по получателям образовательных услуг</w:t>
      </w:r>
    </w:p>
    <w:bookmarkEnd w:id="1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п/п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работ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Срок исполнения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Форма завершения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Исполнители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утверждение приказа Министра просвещения Республики Казахстан "О некоторых вопросах пилотного проекта по размещению государственного образовательного заказа на дошкольное воспитание и обучение с учетом персонифицированного финансирования по получателям образовательных услуг"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февраля 2024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просвещения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ДДО, ДЦиАГУ, АО "Финансовый центр"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разъяснительной работы в городах Шымкент, Туркестан, Тараз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29 февраля 2024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Выездные мероприятия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ДДО, ДЦиАГУ, АО "Финансовый центр", Банки второго уровня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заключение договора оказания услуг между Управлением образования и АО "Финансовый центр" по перечислению средств государственного образовательного заказа на дошкольное воспитание и обучение с учетом персонифицированного финансирования по получателям образовательных услуг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февраля 2024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"Финансовый центр", Управление образования</w:t>
            </w:r>
          </w:p>
          <w:bookmarkEnd w:id="116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утверждение формы договора присоединения для участников Пилотного проекта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марта 2024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присоединения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ДДО, ДЦиАГУ, АО "Финансовый центр"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результатах проведенного Пилотного проекта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января 2025 года</w:t>
            </w:r>
          </w:p>
          <w:bookmarkEnd w:id="11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Аналитическая справка о результатах проведенного Пилотного проекта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"Финансовый центр"</w:t>
            </w:r>
          </w:p>
        </w:tc>
      </w:tr>
    </w:tbl>
    <w:bookmarkStart w:name="z13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Примечание: расшифровка аббревиатур:</w:t>
      </w:r>
    </w:p>
    <w:bookmarkEnd w:id="118"/>
    <w:bookmarkStart w:name="z13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ДДО – Департамент дошкольного образования Министерства просвещения Республики Казахстан</w:t>
      </w:r>
    </w:p>
    <w:bookmarkEnd w:id="119"/>
    <w:bookmarkStart w:name="z13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ДЦиАГУ – Департамент цифровизации и автоматизации государственных услуг Министерства просвещения Республики Казахстан</w:t>
      </w:r>
    </w:p>
    <w:bookmarkEnd w:id="12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