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76aa" w14:textId="55f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14 декабря 2023 года № 119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сентября 2024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2024-2026 годы" от 14 декабря 2023 года №119 (зарегистрировано в Реестре государственной регистрации нормативных правовых актов №190224)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590555740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143761435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19802563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49649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426942093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598016112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28866986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37606154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8739168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-36927358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36927358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35106154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8065456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9886660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50 процентов, города Сарань – 52 процента, Абайского района -70 процентов, города Балхаш – 79 процентов, города Темиртау – 95 процента, городов Приозерск, Шахтинск, Нуринского, Осакаровского, Шетского районов – по 98 процентов,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17 процентов, города Караганды – 43 процента, города Балхаш – 47 процентов, города Темиртау – 50 процентов, города Приозерск – 74 процента, Абайского района – 75 процентов, Актогайского, Нуринского, Осакаровского районов, города Шахтинск – 80 процентов, Бухар-Жырауского района – 81 процент, Шетского района – 87 процентов Каркаралинского района – 90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14 процентов, города Караганды - 38 процентов, города Темиртау – 50 процентов, города Шахтинск – 59 процентов, Абайского района – 72 процента, Нуринского района – 74 процента, города Приозерск – 76 процентов, Актогайского, Шетского районов – по 78 процентов, Каркаралинского района – 79 процентов, Бухар-Жырауского района - 81 процент, города Балхаш – 86 процентов, Осакаровского района – 91 процент;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Каркаралинского района – 17 процентов, Абайского, Актогайского, Бухар-Жырауского,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2024 год в сумме 421285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403804864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211 061 716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110 030 772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по обслуживанию детей с инвалидностью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