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1b3f" w14:textId="4d31b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на второй квартал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 марта 2024 года № 13/02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них", акимат Карагандинский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второй квартал 2024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Карагандинской области.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марта 2024 года № 13/02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цены на 2 квартал 2024 года Карагандинской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производителей, оптовиков на основании коммерческих предложений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производители/оптовики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средние/мелкие производители/оптовики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отпускная цена (производителя и отптовика)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1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торговой надбавки 2 в размере не более 15%, за кг/л/дес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логистические затраты*,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затраты на хранение, за кг/л/дес **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 цена за кг/л/дес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шлифованный, полированный (весовой)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(весовая)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несоленое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лопаточногрудная часть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2,5%, литр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Сахар-песок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Яйца, 1 категории, десяток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465.3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560.6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644.7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