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a9a6" w14:textId="152a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четвертый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октября 2024 года № 61/04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акимат Карагандинский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четвертый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61/04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цены на 4 квартал 2024 года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производителей, оптовиков на основании коммерческих предложений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производители/оптовики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средние/мелкие производители/оптовики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шлифованный, полированный (весовой)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(весовая)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несоленое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лопаточногрудная часть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1 категории, десяток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отпускная цена (производителя и отптовика)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1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2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логистические затраты*,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хранение,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цена за кг/л/дес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