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48a" w14:textId="f47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10 "О бюджетах сел, поселков и сельских округов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марта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28 декабря 2023 года №10 "О бюджетах сел, поселков и сельских округов района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359 324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289 261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362 715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84 107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36 515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47 592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746 075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77 087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545 691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123 297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754 079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8 004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131 414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33 669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97 540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149 865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18 451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93 240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24 790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68 378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95 926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2 686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62 413 тысяч тенге, в том числе по: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7 457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54 956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62 415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70 161 тысяч тенге, в том числе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12 219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57 942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72 444 тысяч тенге, в том числе по: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16 525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55 919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75 252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2 808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100 563 тысяч тенге, в том числе по: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12 266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492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87 805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101 347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198 964 тысяч тенге, в том числе по: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60 858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137 926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206 287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7323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88 325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80 339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88 329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54 997 тысяч тенге, в том числе по: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3 270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51 727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60 244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5 247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36 871 тысяч тенге, в том числе по: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34 822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37 555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93 508 тысяч тенге, в том числе по: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3 757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89 751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94 826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1318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52 470 тысяч тенге, в том числе по: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5 798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46 672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53 820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1350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29 835 тысяч тенге, в том числе по: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28 143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29 836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63 875 тысяч тенге, в том числе по: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2 570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61 305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64 536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44 117 тысяч тенге, в том числе по: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40 536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45 875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1758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75 027 тысяч тенге, в том числе по: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6 155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68 872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75 042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46 619 тысяч тенге, в том числе по: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5 930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40 689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46 623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48 555 тысяч тенге, в том числе по: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5 545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42 610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48 555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60 890 тысяч тенге, в том числе по: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16 344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44 546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62 565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73 826 тысяч тенге, в том числе по: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6 418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67 408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73 925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35 545 тысяч тенге, в том числе по: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1 251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34 294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46 088 тысяч тенге, в том числе по: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7 964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38 124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46 200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46 857 тысяч тенге, в том числе по: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6 637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40 220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47 843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83 269 тысяч тенге, в том числе по: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7 106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76 163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87 596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4327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36 303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57 317 тысяч тенге, в том числе по: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9 224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48 093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59 621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2 304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61 259 тысяч тенге, в том числе по: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13 586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47 066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63 239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2024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2024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