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751f" w14:textId="f907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денежной компенсации при отсутствии возможности обеспечения питанием по установленным нормам продовольственного пайка отдельным категориям сотрудников 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7 февраля 2024 года № 12/қе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"О специальных государственных органах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денежной компенсации при отсутствии возможности обеспечения питанием по установленным нормам продовольственного пайка отдельным категориям сотрудников органов национальной безопасности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Комитета национальной безопасности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направления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национальной безопасности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12/НС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денежной компенсации при отсутствии возможности обеспечения питанием по установленным нормам продовольственного пайка отдельным категориям сотрудников органов национальной безопасности Республики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выплаты денежной компенсации при отсутствии возможности обеспечения питанием по установленным нормам продовольственного пайка отдельным категориям сотрудников органов национальной безопасности Республики Казахстан (далее – Правила) определяют порядок выплаты денежной компенсации (далее – денежная компенсация) при отсутствии возможности обеспечения питанием по установленным нормам продовольственного пайка отдельным категориям сотрудников органов национальной безопасности Республики Казахстан (далее – сотрудники ОНБ).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денежной компенсации производится в целях возмещения расходов сотрудников ОНБ на питание,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"О специальных государственных органах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продовольственного пайка отдельных категорий сотрудников органов национальной безопасности Республики Казахстан с учетом особенностей прохождения службы 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(далее – КНБ) от 26 мая 2015 года № 40 (зарегистрирован в Реестре государственной регистрации нормативных правовых актов за № 11442) (далее – Норма продовольственного пайка).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нахождения сотрудника ОНБ в служебной командировке и возмещения им в установленном порядке суточных расходов, выплата денежной компенсации не осуществляется.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денежной компенсации осуществляется за счет средств республиканского бюджета, предусмотренных на содержание государственного органа.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выплаты денежной компенсации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учреждений (подразделений) ОНБ (далее – Перечень), в которых отсутствует возможности обеспечения питанием по установленным натуральным нормам продовольственного пайка, формируется Департаментом материально-технического обеспечения Службы финансового и материально-технического обеспечения КНБ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утверждается заместителем Председателя КНБ, курирующим кадровые вопросы, финансовое, материально-техническое и медицинское обеспечение, и рассылается в учреждение (подразделение) КНБ не позднее 20 декабря года, предшествующего году выплаты денежной компенсации.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денежной компенсации определяется исходя из стоимости общего пайка для сотрудника, определенной бюджетной заявкой на соответствующий финансовый год.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выплаты денежной компенсации является приказ уполномоченного руководителя либо лица, исполняющего его обязанности.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 приказа по выплате денежной компенсации подготавливается кадровым подразделением учреждений (подразделений) ОНБ по месту прохождения службы сотрудника и направляется в соответствующее финансовое подразделение учреждений (подразделений) ОНБ для осуществления выплаты денежной компенсации.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подготовки проекта приказа по выплате денежной компенсации ежемесячно, до 5 числа месяца, следующего за отчетным месяцем, руководитель подразделения, в котором проходит службу сотрудник, подает рапорт на имя первого руководителя структурного подразделения, учреждения КНБ, либо лица, его замещающего, с приложением списка сотрудников, которым выплачивается денежная компенсация, подтверждающий исполнение сотрудником обязанностей, при которых в случаях, предусмотренных нормативными правовыми актами, ему полагалось обеспечение питанием за счет государства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компенсации производится одновременно с выплатой денежного довольствия по месту прохождения службы сотрудника в текущем месяце за истекший месяц.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денежной компенсации производится: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по плану финансирования – одновременно с выплатой денежного довольствия;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– после внесения соответствующих изменений в индивидуальный план финансирования.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Денежная компенсация выплачивается сотруднику путем перечисления на его текущий банковский счет, открытый в банке второго уровня, либо в наличной форме.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перемещении сотрудника ОНБ из одного государственного учреждения ОНБ в другое, своевременно не выплаченная или выплаченная в неполном объеме компенсация выплачивается по прежнему месту службы.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денежной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стоимости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пайка 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питанием по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пайков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(подпись, 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учреждений (подразделений) органов национальной безопасности Республики Казахстан, в которых отсутствует возможности обеспечения питанием по установленным нормам основных продовольственных пайков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учреждений (подразделений)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денежной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стоимости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пайка 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питанием по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пайков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сотрудников, которым выплачивается денежная компенсация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звание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нарядов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денежной компенсации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подразделения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