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b941" w14:textId="dcab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 для проведения операций по разведке твердых полезных ископаемых товариществом с ограниченной ответственностью "QAZ Cuprum Group"</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11 декабря 2024 года № 113/02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подпунктом 10)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публичный сервитут на земельные участки общей площадью 961,7664 гектаров, расположенные на территории Шидертинского сельского округа Осакаровского района без изъятия земельных участков сроком до 06 августа 2029 года для проведения операций по разведке твердых полезных ископаемых товариществом с ограниченной ответственность "QAZ Cuprum Group",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"QAZ Cuprum Group" (по согласованию) необходимо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Осакаровского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принять иные меры, вытекающие из настоящего постановления.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"11" декабря 2024 года</w:t>
            </w:r>
            <w:r>
              <w:br/>
            </w:r>
            <w:r>
              <w:rPr>
                <w:rFonts w:ascii="Times New Roman"/>
                <w:b w:val="false"/>
                <w:i w:val="false"/>
                <w:color w:val="000000"/>
                <w:sz w:val="20"/>
              </w:rPr>
              <w:t>№113/02</w:t>
            </w:r>
          </w:p>
        </w:tc>
      </w:tr>
    </w:tbl>
    <w:bookmarkStart w:name="z14" w:id="8"/>
    <w:p>
      <w:pPr>
        <w:spacing w:after="0"/>
        <w:ind w:left="0"/>
        <w:jc w:val="left"/>
      </w:pPr>
      <w:r>
        <w:rPr>
          <w:rFonts w:ascii="Times New Roman"/>
          <w:b/>
          <w:i w:val="false"/>
          <w:color w:val="000000"/>
        </w:rPr>
        <w:t xml:space="preserve"> Перечень земельных участков в границах лицензии на разведку твердых полезных ископаемых от 07 августа 2023 года № 2088-EL, в отношении которых подлежит установлению публичный сервитут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частей участков, в отношении которых подлежит установлению публичный сервитут (в границах лицензии),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 товарищество с ограниченной ответственностью "Шидерты-kz"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 товарищество с ограниченной ответственностью "Шидерты-kz"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961,7664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