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1944" w14:textId="e101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 для обслуживания воздушной линии – 110 киловольт от насосной станции № 18 до насосной станции № 22</w:t>
      </w:r>
    </w:p>
    <w:p>
      <w:pPr>
        <w:spacing w:after="0"/>
        <w:ind w:left="0"/>
        <w:jc w:val="both"/>
      </w:pPr>
      <w:r>
        <w:rPr>
          <w:rFonts w:ascii="Times New Roman"/>
          <w:b w:val="false"/>
          <w:i w:val="false"/>
          <w:color w:val="000000"/>
          <w:sz w:val="28"/>
        </w:rPr>
        <w:t>Постановление акимата Осакаровского района Карагандинской области от 13 декабря 2024 года № 114/01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17, </w:t>
      </w:r>
      <w:r>
        <w:rPr>
          <w:rFonts w:ascii="Times New Roman"/>
          <w:b w:val="false"/>
          <w:i w:val="false"/>
          <w:color w:val="000000"/>
          <w:sz w:val="28"/>
        </w:rPr>
        <w:t>статьями 69</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Осакаровского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публичный сервитут на земельные участки общей площадью 0,3860 гектаров, расположенные на территории Шидертинского, Трудового, Каратомарского сельских округов Осакаровского района без изъятия земельных участков сроком на 49 лет для обслуживания воздушной линии – 110 киловольт от насосной станции №18 до насосной станции №22 республиканскому государственному предприятию на праве хозяйственного ведения "Казводхоз" Министерству водных ресурсов и ирригации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Республиканскому государственному предприятию на праве хозяйственного ведения "Казводхоз" Министерству водных ресурсов и ирригации Республики Казахстан (по согласованию) необходимо возместить убытки собственникам земельных участков и землепользователям в полном объеме, размер убытков и порядок их компенсации определить соглашением сторон в соответствии с действующим законодательством Республики Казахстан.</w:t>
      </w:r>
    </w:p>
    <w:bookmarkEnd w:id="2"/>
    <w:bookmarkStart w:name="z7" w:id="3"/>
    <w:p>
      <w:pPr>
        <w:spacing w:after="0"/>
        <w:ind w:left="0"/>
        <w:jc w:val="both"/>
      </w:pPr>
      <w:r>
        <w:rPr>
          <w:rFonts w:ascii="Times New Roman"/>
          <w:b w:val="false"/>
          <w:i w:val="false"/>
          <w:color w:val="000000"/>
          <w:sz w:val="28"/>
        </w:rPr>
        <w:t>
      3. Государственному учреждению "Отдел земельных отношений Осакаровского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принять иные меры, вытекающие из настоящего постановления.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района.</w:t>
      </w:r>
    </w:p>
    <w:bookmarkEnd w:id="6"/>
    <w:bookmarkStart w:name="z11" w:id="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Осакаровского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Шалабаева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Осакаровского района</w:t>
            </w:r>
            <w:r>
              <w:br/>
            </w:r>
            <w:r>
              <w:rPr>
                <w:rFonts w:ascii="Times New Roman"/>
                <w:b w:val="false"/>
                <w:i w:val="false"/>
                <w:color w:val="000000"/>
                <w:sz w:val="20"/>
              </w:rPr>
              <w:t>от "13" декабря 2024 года</w:t>
            </w:r>
            <w:r>
              <w:br/>
            </w:r>
            <w:r>
              <w:rPr>
                <w:rFonts w:ascii="Times New Roman"/>
                <w:b w:val="false"/>
                <w:i w:val="false"/>
                <w:color w:val="000000"/>
                <w:sz w:val="20"/>
              </w:rPr>
              <w:t>№114/01</w:t>
            </w:r>
          </w:p>
        </w:tc>
      </w:tr>
    </w:tbl>
    <w:bookmarkStart w:name="z14" w:id="8"/>
    <w:p>
      <w:pPr>
        <w:spacing w:after="0"/>
        <w:ind w:left="0"/>
        <w:jc w:val="left"/>
      </w:pPr>
      <w:r>
        <w:rPr>
          <w:rFonts w:ascii="Times New Roman"/>
          <w:b/>
          <w:i w:val="false"/>
          <w:color w:val="000000"/>
        </w:rPr>
        <w:t xml:space="preserve"> Перечень земельных участков, в отношении которых подлежит установлению публичный сервитут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участков, в отношении которых подлежит установлению публичный сервитут (в границах лицензии),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Шидертинский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Шидертинский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Шидертинский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Шидертинский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Шидертинский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Шидертинский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09-137-050-068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Трудовой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09-137-050-033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Трудовой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Трудовой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09-137-050-065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Трудовой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09-137-050-115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Трудовой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09-137-050-072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Трудовой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09-137-060-047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Каратомарский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09-137-060-001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Каратомарский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