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cd8d" w14:textId="c71c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Бейнеуского района акимата от 26 марта 2018 года № 39 "Об утверждении Методики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w:t>
      </w:r>
    </w:p>
    <w:p>
      <w:pPr>
        <w:spacing w:after="0"/>
        <w:ind w:left="0"/>
        <w:jc w:val="both"/>
      </w:pPr>
      <w:r>
        <w:rPr>
          <w:rFonts w:ascii="Times New Roman"/>
          <w:b w:val="false"/>
          <w:i w:val="false"/>
          <w:color w:val="000000"/>
          <w:sz w:val="28"/>
        </w:rPr>
        <w:t>Постановление акимата Бейнеуского района Мангистауской области от 14 октября 2024 года № 203</w:t>
      </w:r>
    </w:p>
    <w:p>
      <w:pPr>
        <w:spacing w:after="0"/>
        <w:ind w:left="0"/>
        <w:jc w:val="both"/>
      </w:pPr>
      <w:bookmarkStart w:name="z1" w:id="0"/>
      <w:r>
        <w:rPr>
          <w:rFonts w:ascii="Times New Roman"/>
          <w:b w:val="false"/>
          <w:i w:val="false"/>
          <w:color w:val="000000"/>
          <w:sz w:val="28"/>
        </w:rPr>
        <w:t>
      Акимат Бейнеуского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Бейнеуского района от 26 марта 2018 года </w:t>
      </w:r>
      <w:r>
        <w:rPr>
          <w:rFonts w:ascii="Times New Roman"/>
          <w:b w:val="false"/>
          <w:i w:val="false"/>
          <w:color w:val="000000"/>
          <w:sz w:val="28"/>
        </w:rPr>
        <w:t>№ 39</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 (зарегистрировано в Реестре государственной регистрации нормативных правовых актов под № 3568) следующее изменение.</w:t>
      </w:r>
    </w:p>
    <w:bookmarkEnd w:id="1"/>
    <w:bookmarkStart w:name="z3" w:id="2"/>
    <w:p>
      <w:pPr>
        <w:spacing w:after="0"/>
        <w:ind w:left="0"/>
        <w:jc w:val="both"/>
      </w:pPr>
      <w:r>
        <w:rPr>
          <w:rFonts w:ascii="Times New Roman"/>
          <w:b w:val="false"/>
          <w:i w:val="false"/>
          <w:color w:val="000000"/>
          <w:sz w:val="28"/>
        </w:rPr>
        <w:t>
      в Методике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 утвержденной указанным постановлением:</w:t>
      </w:r>
    </w:p>
    <w:bookmarkEnd w:id="2"/>
    <w:bookmarkStart w:name="z4" w:id="3"/>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подпункт 12) пункта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Настоящее постановление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Временно исполняющий обязанности акима Бейнеуского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Назарханов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