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665d" w14:textId="9e56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22 мая 2024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(зарегистрировано в Реестре государственной регистрации нормативных правовых актов под № 190384)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525 026 353,6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40 012 205,0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9 395 060,9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475 554 657,7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533 519 502,0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25 246 390,0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34 737 189,0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9 490 799,0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5 000 000,0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- 38 739 538,4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38 739 538,4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в размере 100%, за исключением Аулиекольского района – в размере 44,0%, района Беимбета Майлина – в размере 75,0%, Житикаринского района – в размере 84,0%, Камыстинского района – в размере 54,0%, Карабалыкского района – в размере 66,0%, Карасуского района – в размере 57,0%, Костанайского района – в размере 78,0%, Сарыкольского района – в размере 53,0%, города Костанай – в размере 21,0%, города Рудного в размере 67,0%;";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Мусагазина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2024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525 026 353,6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475 554 657,7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382 306 468,0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533 519 502,0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218 973 756,1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131 876 200,6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18 687 121,5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57 443 029,5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34 504 433,7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34 504 433,7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63 430 099,1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-38 739 538,4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38 739 538,4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508 350 711,9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38 243 781,9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494 388 861,9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210 778 449,4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66 175 377,6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66 175 377,6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66 175 377,6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62 632 614,6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448 047 313,7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443 155 686,7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40 634 945,7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40 634 945,7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40 634 945,7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37 602 806,7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