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67f1" w14:textId="9e16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"ERG Exploration"</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27 марта 2024 года № 47</w:t>
      </w:r>
    </w:p>
    <w:p>
      <w:pPr>
        <w:spacing w:after="0"/>
        <w:ind w:left="0"/>
        <w:jc w:val="both"/>
      </w:pPr>
      <w:bookmarkStart w:name="z4"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17</w:t>
      </w:r>
      <w:r>
        <w:rPr>
          <w:rFonts w:ascii="Times New Roman"/>
          <w:b w:val="false"/>
          <w:i w:val="false"/>
          <w:color w:val="000000"/>
          <w:sz w:val="28"/>
        </w:rPr>
        <w:t xml:space="preserve">,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на основании лицензии на геологическое изучение недр № 251-ГИН от 29 декабря 2023 года акимат Денисовского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"ERG Exploration" без изъятия земельных участков у землепользователей публичный сервитут сроком до 28 декабря 2026 года для проведения операций по геологическому изучению недр на земельном участке площадью 12595,9 гектара, расположенном на территории Покровского сельского округа Денисовского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товариществу с ограниченной ответственностью "ERG Exploration" привести земельные участки в состояние, пригодное для использования по целевому назначению, и определить в договоре с землепользователями обязанности по возмещению убытков и другие условия.</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Денисовского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Денисовского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Катпаев Р.Ж.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