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14ff" w14:textId="9f81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"ERG Exploration"</w:t>
      </w:r>
    </w:p>
    <w:p>
      <w:pPr>
        <w:spacing w:after="0"/>
        <w:ind w:left="0"/>
        <w:jc w:val="both"/>
      </w:pPr>
      <w:r>
        <w:rPr>
          <w:rFonts w:ascii="Times New Roman"/>
          <w:b w:val="false"/>
          <w:i w:val="false"/>
          <w:color w:val="000000"/>
          <w:sz w:val="28"/>
        </w:rPr>
        <w:t>Постановление акимата Камыстинского района Костанайской области от 15 марта 2024 года № 45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на основании лицензии на геологическое изучения недр № 251-ГИН от 29.12.2023 года, акимат Камыстинского района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"ERG Exploration" публичный сервитут на земельный участок и предоставить право ограниченного целевого использования земельного участка общей площадью 1022,0 га, для проведения операций по изучению недр, расположенный на территории Аркинского сельского округа, Камыстинского района, Костанайской области, сроком до 29.12.2026 года.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Камыстинского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Жаулыбаев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