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636d" w14:textId="8f96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8 февраля 2024 года № 35/2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(далее –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района") является местным исполнительным органом, осуществляющим в пределах своей компетенции государственное управление по вопросам организации, мониторинга и координации деятельности в сфере жилищно-коммунального хозяйства, пассажирского транспорта, автомобильных дорог, архитектурно-градостроительной и строительной деятельности на территории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энергосбережении и повышении энергоэффективности",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гражданским законодательством Республики Казахстан, законодательством о государственном имуществе, счета в органах казначейства в соответствии с бюджетным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по вопросам своей компетенции принимает решения, оформляемые приказами руководителя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и другими актами, предусмотренными законодательством Республики Казахстан в сфере жилищно-коммунального хозяйства, пассажирского транспорта, автомобильных дорог, архитектурно-градостроительной и строительной деятельности, государственных закупок, трудовых отношений, государственной службы, а также настоящим Положением.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утверждаются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10 лет Независимости, 30.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района": понедельник-пятница с 9-00 до 18-30 часов, обеденный перерыв с 13-00 до 14-30 часов, выходные дни: суббота-воскресенье.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ауданының тұрғын-үй коммуналдық шаруашылық, жолаушылар көлігі, автомобиль жолдары, құрылыс, сәулет және қала құрылысы бөлімі"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коммунальное государственное учреждение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является государство в лице аппарата акима Успенского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Финансирование деятельности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задачи, полномочия коммунального государственного учреждения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и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обеспечения благоприятной жизнедеятельности населения при осуществлении деятельности в сфере жилищно-коммунального хозяйства, пассажирского транспорта, автомобильных дорог,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политики в сфере жилищно-коммунального хозяйства, пассажирского транспорта, автомобильных дорог, архитектурной, градостроительной и строительной деятельности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на районном уровне мероприятий и программ в сфере жилищно-коммунального хозяйства, пассажирского транспорта, автомобильных дорог, архитектурной, градостроительной и строительной деятельности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осуществлять методическое руководство и координацию деятельности по вопросам, входящим в компетенцию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по согласованию с государственными органами, должностными лицами, организациями, гражданами информацию по вопросам, связанным с исполнением задач, поставленным перед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самостоятельно или совместно с другими исполнительными органами разрабатывать отраслевые программы развития района в вопросах, входящих в компетенцию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осуществлять координацию деятельности государственных органов и учреждений, финансируемых из районного бюджета, по вопросам входящим в компетенцию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на основе проведенного мониторинга представлять местным государственным органам и учреждениям, финансируемым из районного бюджета методические рекомендации по вопросам, входящим в компетенцию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вносить на рассмотрение акима района и районного акимата предложения по вопросам, входящим в компетенцию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доступность и качество предоставляемых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осуществлять свою деятельность в соответствии с законодательством Республики Казахстан в сфере жилищно-коммунального хозяйства, пассажирского транспорта, автомобильных дорог, архитектурно-градостроительной и строительной деятельности, государственных закупок, трудовых отношений, государственной службы, а также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осуществлять иные обязанности в соответствии с законодательством Республики Казахстан в сфере жилищно-коммунального хозяйства, пассажирского транспорта, автомобильных дорог, архитектурно-градостроительной и строительной деятельности, государственных закупок, трудовых отношений, государственной службы, а также настоящим Положением.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на территории района единой государственной политики в области автомобильных дорог, пассажирского транспорта, водоснабжения населенных пунктов, телефонной связи, благоустройства населенных пунктов, энергоснабжения, теплоснабжения,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реализует местные программы в сфере жилищно-коммунального хозяйства, пассажирского транспорта, автомобильных дорог, архитектуры, градостроительства, строительства,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по реализации комплексной схемы градостроительного планирования территории района (проекта районной планировки или ее части), генеральных планов населенных пунктов на территории района в соответствии с законодательством в сфере архитектурно-градостроительной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подготавливает для рассмотрения местными исполнительными органами предложения по строительству,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разработку и представление на утверждение районному маслихату схем градостроительного развития территории района, а также проектов генеральных планов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утверждение районного маслихата территориальные правила застройки, благоустройства и инженерного обеспечения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государственный градостроительный кадастр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мониторинг строящихся (намечаемых к строительству) объектов и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государственные закупки работ, товаров, услуг в сфере жилищно-коммунального хозяйства, пассажирского транспорта, автомобильных дорог, строительства,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анализирует и обобщает практику соблюдения законодательства в области жилищно-коммунального хозяйства, пассажирского транспорта, автомобильных дорог, строительства, архитектуры и градостроительства; государственными учреждениями и органами,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выступает в качестве заказчика по строительству объектов коммунальной собственности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предъявляет завершенные строительством объекты (комплексы) к приемке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передает с баланса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завершенные строительством объекты (комплексы)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обращения юридических лиц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взаимодействие с государственными органами, должностными лицами для реализации задач, возложенных на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разрабатывает акты по вопросам управления подведомственными юридическими лицами, обеспечивает их реализацию;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определяет приоритетные направления деятельности и обязательные объемы работ (услуг), финансируемых из бюджета, подведомственных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определяет предмет и цели деятельности подведомственных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рассматривает, согласовывает, утверждает, осуществляет контроль и анализ выполнения планов развития подведомственных предприятий и организаций с государственным участием, отчеты по их исполнению;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контроль за использованием и сохранностью имущества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дает согласие уполномоченному органу по управлению коммунальной собственностью на изъятие или перераспределение имущества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утверждает планы финансирования подведомственных учреждений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вносит предложения или назначает своего представителя в состав совета директоров (наблюдательного совета) акционерных обществ (товариществ с ограниченной ответственностью), госпакет (госдоля) участия которых передана ему во владение и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готовит сведения, в том числе поименный перечень находящихся в его управлении государственных юридических лиц и юридических лиц с участием государства, для отражения этих сведений в реестре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готовит материалы в районный акимат и акиму района по вопросам, входящим в компетенцию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методическую помощь учреждениям, финансируемым из районного бюджета в вопросах, входящим в компетенцию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вносит предложения по совершенствованию нормативных правовых актов в области автомобильных дорог, пассажирского транспорта, водоснабжения населенных пунктов, телефонной связи, благоустройства населенных пунктов, энергоснабжения, теплоснабжения,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профессиональную переподготовку, повышение квалификации и аттестации государственных служащих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решает вопросы, связанные с прохождением государственной службы работников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формировании кадрового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взаимодействие с государственными органами, должностными лицами для реализации задач, возложенных на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постановку на учет и снятие с учета опасных технических устройств на объектах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государственный контроль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ответственность за взимание поступлений в бюджет от аренды жилищ из жилищного фонда, находящегося в коммунальной собственности района, за исключением доходов от аренды государственного имущества, находящегося в управлении акимов города, районного значения, села, поселка, сельского округа.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органа осуществляется первым руководителем, который несет персональную ответственность за выполнение возложенных на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задач и осуществление им своих функций в соответствии с законодательством в сфере государственной службы.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назначается на должность и освобождается от должности акимом Успенского района в соответствии с законодательством в сфере государственной службы.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имеет заместителя, который назначается на должность и освобождается от должности в соответствии с законодательством в сфере государственной службы.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в сфере трудовых отношений, и в пределах своей компетенции, назначает на должность и освобождает работников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утверждает должностные инструкции работников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взыскания, применяет меры оказания материальной помощи, поощрения на работников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 обязательные для выполнения всеми работниками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работы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в сфере жилищно-коммунального хозяйства, пассажирского транспорта, автомобильных дорог, архитектурно-градостроительной и строительной деятельности, государственных закупок, трудовых отношений, государственной службы, государственного местного управления и самоуправления,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в период его отсутствия возлагается на государственного служащего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в соответствии с трудовым законодательством.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КГУ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 осуществляются в соответствии с законодательством Республики Казахстан о государственном имуществе.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коммунального государственного учреждения "Отдел жилищно-коммунального хозяйства, пассажирского транспорта, автомобильных дорог, строительства, архитектуры и градостроительства Успенского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"Успен Ауыз-Су" жилищно-коммунального хозяйства, пассажирского транспорта, автомобильных дорог, строительства, архитектуры и градостроительства Успенского района, акимата Успенского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