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c0ba" w14:textId="910c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22 июня 2022 года № 141 "Об утверждении государственного образовательного заказа на дошкольное воспитание и обучение, размера родительской платы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марта 2024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июня 2022 года № 141 "Об утверждении государственного образовательного заказа на дошкольное воспитание и обучение, размера родительской платы в Атырауской области" (зарегистрированное в Реестре государственной регистрации нормативных правовых автов под № 28586)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в Атырауской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 возникшие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61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Атырауской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воспитанников в дошкольных организациях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(средняя стоимость расходов)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коррекционного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с туберкулезными, аллергическими заболеваниями, с заболеванием сахарного диабета, ослабленных и часто болеющих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