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f310" w14:textId="ccff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июня 2024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 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61 077 491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34 495 234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547 783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9 363 869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16 670 605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72 017 286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-10 596 434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10 596 434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17 180 216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8 439 498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норматив распределения доходов, установленный областным маслихатом на 2024 год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50%;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20%;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20%;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20%.";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2024 год предусмотрены целевые текущие трансферты из вышестоящего бюджета: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 в общей сумме 2 054 579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8 681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270 939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16 213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4 117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-1 254 629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500 000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5 198 039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4 149 993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1 048 046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9 404 050 тысяч тенге: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333 572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80 934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-116 668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120 667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1 203 448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38 221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3 725 479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1 933 056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111 782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622 123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71 500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240 000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268 900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537 700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17 180 216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– 15 630 498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 для приобретение жилья – 1 549 718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3 909 595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2024 год в размере 4 523 338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 № 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 7-2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