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c176e" w14:textId="0ec17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обороны Республики Казахстан от 30 сентября 2024 года № 1102 "Об утверждении Положения о научно-техническом совете Министерства обороны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7 февраля 2025 года № 119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30 сентября 2024 года № 1102 "Об утверждении Положения о научно-техническом совете Министерства обороны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научно-техническом совете Министерства обороны Республики Казахстан,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по вопросам финансирования научных исследований, научных, научно-технических проектов и программ, НИОКР, а также проектов коммерциализации РННТД из средств государственного бюджета: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научно-технических и научно-технологических задач и программ;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по формированию специализированных направлений в целях реализации приоритетных направлений научной, научно-технической деятельности;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конкурсных документаций по грантовому и программно-целевому финансированию проектов и программ, а также проектов по коммерциализации РННТД;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вырабатывает предложения при разработке технических заданий по программно-целевому финансированию;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и вырабатывает рекомендации научной новизны, научно-технического уровня, перспективности, степени разработанности предлагаемых научных, научно-технических проектов и программ, экономической обоснованности запрашиваемого объема финансирования;";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В состав НТС избираются ученые: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являющиеся гражданами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имеющие степень доктора (PhD), доктора по профилю, доктора или кандидата наук, являющиеся работниками аккредитованных субъектов научной и (или) научно-технической деятельности в течение 3 (трех) лет до даты формирования состава НТС или занимающиеся научной и (или) научно-технической деятельностью в военных учебных заведениях;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имеющие стаж научно-исследовательской и (или) научно-педагогической работы в военной сфере не менее 5 (пять) лет.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Семьдесят процентов (70 %) от состава НТС состоит из работников и (или) экспертов, имеющих стаж работы 5 (пять) лет: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департаментов военного образования и науки, военно-технической политики, экономики и финансов, оперативного планирования, боевой подготовки и информационных технологий;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члены ННС и научных организаций, являющихся субъектами научной и (или) научно-технической деятельности.";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Состав НТС утверждается сроком на 3 (три) года и состоит из нечетного числа членов в количестве 9 (девять) и 25 (двадцать пять) человек.";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Решения НТС принимаются открытым голосованием и считаются принятыми, если за них подано не менее 2/3 голосов от общего количества членов, присутствующих на заседании НТС. При равенстве голосов решающим является голос Председателя. Секретарь не является членом НТС и не голосует при принятии решений. При наличии у членов НТС особого мнения по вынесенному на голосовании вопросу, секретарь вносит в протокол соответствующую запись.".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военного образования и науки Министерства обороны Республики Казахстан в установленном законодательством Республики Казахстан порядке обеспечить: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в электронном виде в течение пяти рабочих дней со дня его подписания на казахском и русском языках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пункта 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Государственного реестра нормативных правовых актов Республики Казахстан, Эталонного контрольного банка нормативных правовых актов Республики Казахстан, утвержденных приказом Министра юстиции Республики Казахстан от 11 июля 2023 года № 472 (зарегистрирован в Реестре государственной регистрации нормативных правовых актов под № 33059);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сведений в Юридический департамент Министерства обороны Республики Казахстан об исполнении подпунктов 1) и 2) настоящего пункта в течение десяти календарных дней со дня государственной регистрации.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заинтересованных должностных лиц и структурных подразделений.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