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fe5b" w14:textId="376f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апреля 2025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июля 2024 года № 718 "Об утверждении натуральных норм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472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мыломоющими средствами, инструментами и инвентарем для уборки служебных, бытовых, производственных помещений и территорий на объектах Министерства обороны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норм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 Уборка служебных, бытовых и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(жидкое мыло)*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дезинфекции и очищения 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гр. на санузел.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влажной уборки санузлов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пола на одного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уборщика для санузлов.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влажной уборки помещений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пола на одного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уборщика для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(микрофибра)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помещений, протирки мебели и офисного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уборщика.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распространения респираторных заболеваний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удаления загрязнений в нижней части унитаза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прибор (санузлы/унитазы).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Белизна, хлорка (хлорамин)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отбеливания, дезодорирования и дезинфекции унитазов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неприятных запахов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санузлов.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обеспечивающее в помещении дополнительный комфорт путем защиты от неприятных запахов за счет насыщения воздуха натуральными ароматами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личных гигиенических целях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кабину.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гигиены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мытье пола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 для унитазов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содержания в чистоте унитаза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унитаз.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поддержки гигиенических условий в туалете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для сбора мусора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наполнения жидкости при уборке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уборщика.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Мешковина полиэтиленовая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 и выбрасывания в емкости с находящимися в них отходами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мусора на 1 рабочее место.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материал для использования в быту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 Уборка территории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земляных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земляных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удаления льда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зимних условия при очистке территории от льда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от грязи, пыли и трения о твердых предметах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условий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металлическое 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наполнения мусора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учреждение.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Поливочный шланг на 15-25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полива цветов, газона, деревьев и прочих работ с водою на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объект.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одноосная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листвы, мусора и других отходов при уборке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скашивания травы при обработке ровных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стрижки газонов, подрезки кустов и молодых ветвей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дворника.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обеспечения условий труда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из расчета на 1 человека 30 гр. на 1 месяц (при 24 рабочих дней). Расчет производится от количества личного состава на этаже.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применяется только для административных зданий, где отсутствуют солдаты срочной службы.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из расчета на 1 мусорную корзину, при этом в санузлах смена производится ежедневно при наполнении.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****- исходя от количества личного состава соотношение на 10 человек 1 инвентарь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