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1783b" w14:textId="a9178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пороговых значений розничных цен на социально значимые продовольственные товары на второй квартал 2025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17 апреля 2025 года № 23/03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Предпринимательским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"Об утверждении правил установления пороговых значений розничных цен на социально значимые продовольственные товары и размера предельно допустимых розничных цен на них", акимат Карагандинский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пороговые значения розничных цен на социально значимые продовольственные товары на второй квартал 2025 года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Карагандинской области.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2025 года № 23/03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Пороговые цены на 2 квартал 2025 года Карагандинской области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производителей, оптовиков на основании коммерческих предложений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крупные производители/оптовики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средние/мелкие производители/оптовики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первого сорта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первого сорта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Рожки (весовые)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 шлифованный, полированный (весовой)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(весовая)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подсолнечное, литр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 несоленое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 лопаточногрудная часть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 (бедренная и берцовая кость с прилегающей к ней мякотью)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пастеризованное 2,5%, литр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 2,5%, литр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белокочанная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Яйца, 1 категории, десяток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отпускная цена (производителя и отптовика) за кг/л/дес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учетом торговой надбавки 1 в размере не более 15%, за кг/л/дес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учетом торговой надбавки 2 в размере не более 15%, за кг/л/дес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логистические затраты*, за кг/л/дес 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затраты на хранение, за кг/л/дес 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Пороговая цена за кг/л/дес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