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cc34" w14:textId="3fbc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земельный участок для проведения операций по разведке твердых полезных ископаемых товариществом с ограниченной ответственностью "CТG"</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6 марта 2025 года № 25/01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публичный сервитут на земельный участок товарищества с ограниченной ответственностью "Евразия Инвест LTD" под кадастровым номером 09-137-037-084, общей площадью 216,0048 гектаров, расположенный на территории сельского округа Жансары Осакаровского района без изъятия земельного участка сроком до 24 сентября 2030 года для проведения операций по разведке твердых полезных ископаемых товариществом с ограниченной ответственностью "CТG".</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"CТG"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Осакаровского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