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8f0" w14:textId="5d5c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11 сентября 2019 года № 394 "Об утверждении Правил реализации механизмов стабилизации цен на социально значимые продовольственные товары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февраля 2025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реализации механизмов стабилизации цен на социально значимые продовольственные товары по Костанайской области" от 11 сентября 2019 года № 394 (зарегистрировано в Реестре государственной регистрации нормативных правовых актов под № 8653)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Костанайской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Социально значимые продовольственные товары, приобретаемые в региональные стабилизационные фонды продовольственных товаров, должны соответствовать требованиям технических регламентов.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товаропроизводителей, перерабатывающих предприятий, оптовых поставщиков (дистрибьюторов), специализирующихся на реализации продовольственных товаров.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 (перерабатывающее предприятие, оптовый поставщик (дистрибьютор), специализирующийся на реализации продовольственных товаров) признается финансово устойчивым, если он соответствует в совокупности по условиям по отсутствию просроченной задолжности по налогам и другим обязательным платежам в бюджет, обязательным пенсионным взносам в единый накопительный пенсионный фонд, а также по кредитам (займам), предоставленным банкам второго уровня, организациями, осуществляющими отдельные виды банковских операций, и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