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6ef3ca1" w14:textId="6ef3ca1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Карасускому району на 2025-2029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маслихата Карасуского района Костанайской области от 12 февраля 2025 года № 204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подпунктом 15) пункта 1 </w:t>
      </w:r>
      <w:r>
        <w:rPr>
          <w:rFonts w:ascii="Times New Roman"/>
          <w:b w:val="false"/>
          <w:i w:val="false"/>
          <w:color w:val="000000"/>
          <w:sz w:val="28"/>
        </w:rPr>
        <w:t>статьи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статьей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Карасуский районный маслихат РЕШИЛ: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прилагаемый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Карасускому району на 2025-2029 годы.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Председатель Карасуского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С. Кажиев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решению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февраля 2025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204</w:t>
            </w:r>
          </w:p>
        </w:tc>
      </w:tr>
    </w:tbl>
    <w:bookmarkStart w:name="z12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Карасускому району на 2025-2029 годы</w:t>
      </w:r>
    </w:p>
    <w:bookmarkEnd w:id="3"/>
    <w:bookmarkStart w:name="z13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расположения пастбищ на территории административно-территориальной единицы в разрезе категорий земель с указанием границ, площадей и видов пастбищ, в том числе отгонных, сезонных, аридных и культурных, отражением сведений об их собственниках на основании правоустанавливающих и идентификационных документов на земельный участок. (приложение 1 к Плану по управлению пастбищами и их использованию по Карасускому району на 2025-2029 годы);</w:t>
      </w:r>
    </w:p>
    <w:bookmarkEnd w:id="4"/>
    <w:bookmarkStart w:name="z14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с обозначением пастбищ, предназначенных для нужд населения по выпасу сельскохозяйственных животных личного подворья, в том числе общественных, на которой указываются границы и площади пастбищ, предназначенных для нужд населения по выпасу сельскохозяйственных животных личного подворья;</w:t>
      </w:r>
    </w:p>
    <w:bookmarkEnd w:id="5"/>
    <w:bookmarkStart w:name="z15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с обозначением рекомендуемых схем пастбищеоборотов, на которой указываются схемы пастбищеоборотов, рекомендуемые на основании геоботанического обследования пастбищ. (приложение 3 к Плану по управлению пастбищами и их использованию по Карасускому району на 2025-2029 годы);</w:t>
      </w:r>
    </w:p>
    <w:bookmarkEnd w:id="6"/>
    <w:bookmarkStart w:name="z16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с обозначением сервитутов для прогона сельскохозяйственных животных, скотопрогонных трасс и иных объектов пастбищной инфраструктуры, а также скотомогильников (биометрических ям.) (приложение 4 к Плану по управлению пастбищами и их использованию по Карасускому району на 2025-2029 годы);</w:t>
      </w:r>
    </w:p>
    <w:bookmarkEnd w:id="7"/>
    <w:bookmarkStart w:name="z17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с обозначениями пастбищ, которые могут быть предоставлены в землепользование пастбищепользователям. (приложение 5 к Плану по управлению пастбищами и их использованию по Карасускому району на 2025-2029 годы);</w:t>
      </w:r>
    </w:p>
    <w:bookmarkEnd w:id="8"/>
    <w:bookmarkStart w:name="z18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с обозначением пастбищ, подлежщих резервированию в целях удовлетворения нужд населения по выпасу сельскохозяйственных животных личного подворья, на которй указываются границы и площади пастбищ, подлежищих резервированию в целях удовлетворения нужд населения по выпасу сельскохозяйственных животных личного подворья. (приложение 6 к Плану по управлению пастбищами и их использованию по Карасускому району на 2025-2029 годы);</w:t>
      </w:r>
    </w:p>
    <w:bookmarkEnd w:id="9"/>
    <w:bookmarkStart w:name="z19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доступа пастбищепользователей к видеоисточникам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воды, на которой указывается маршрут передвижения к водоисточникам. (приложение 7 к Плану по управлению пастбищами и их использованию по Карасускому району на 2025-2029 годы);</w:t>
      </w:r>
    </w:p>
    <w:bookmarkEnd w:id="10"/>
    <w:bookmarkStart w:name="z20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размещения поголовья сельскохозяйственных животных на отгонных пастбищах указываются границы и площади отгонных пастбищ для размещения поголовья сельскохозяйственных животных. (приложение 8 к Плану по управлению пастбищами и их использованию по Карасускому району на 2025-2029 годы);</w:t>
      </w:r>
    </w:p>
    <w:bookmarkEnd w:id="11"/>
    <w:bookmarkStart w:name="z21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</w:t>
      </w:r>
      <w:r>
        <w:rPr>
          <w:rFonts w:ascii="Times New Roman"/>
          <w:b w:val="false"/>
          <w:i w:val="false"/>
          <w:color w:val="000000"/>
          <w:sz w:val="28"/>
        </w:rPr>
        <w:t>Проектное распределение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(перераспределение) пастбищ между сельскими населенными пунктами, входящими в сельский округ, на котором указывается схема распределения (перераспределения) пастбищ между сельскими населенными пунктами сельского округа для поголовья сельскохозяйственных животных физических и юридических лиц не обеспеченных пастбищами. (приложение 9 к Плану по управлению пастбищами и их использованию по Карасускому району на 2025-2029 годы);</w:t>
      </w:r>
    </w:p>
    <w:bookmarkEnd w:id="12"/>
    <w:bookmarkStart w:name="z22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</w:t>
      </w:r>
      <w:r>
        <w:rPr>
          <w:rFonts w:ascii="Times New Roman"/>
          <w:b w:val="false"/>
          <w:i w:val="false"/>
          <w:color w:val="000000"/>
          <w:sz w:val="28"/>
        </w:rPr>
        <w:t>Иные требования</w:t>
      </w:r>
      <w:r>
        <w:rPr>
          <w:rFonts w:ascii="Times New Roman"/>
          <w:b w:val="false"/>
          <w:i w:val="false"/>
          <w:color w:val="000000"/>
          <w:sz w:val="28"/>
        </w:rPr>
        <w:t>, не обходимые для рационального использования пастбищ на соответствующей административно-территориальной единице;</w:t>
      </w:r>
    </w:p>
    <w:bookmarkEnd w:id="13"/>
    <w:bookmarkStart w:name="z23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Карасускому району на 2025-2029 годы).</w:t>
      </w:r>
    </w:p>
    <w:bookmarkEnd w:id="1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Карасускому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29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административно-территориальной единицы в разрезе категорий земель с указанием границ, площадей и видов пастбищ, в том числе отгонных, сезонных, аридных и культурных, отражением сведений об их собственниках на основании правоустанавливающих и идентификационных документов на земельный участок.</w:t>
      </w:r>
    </w:p>
    <w:bookmarkEnd w:id="15"/>
    <w:bookmarkStart w:name="z30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"/>
    <w:p>
      <w:pPr>
        <w:spacing w:after="0"/>
        <w:ind w:left="0"/>
        <w:jc w:val="both"/>
      </w:pPr>
      <w:r>
        <w:drawing>
          <wp:inline distT="0" distB="0" distL="0" distR="0">
            <wp:extent cx="7810500" cy="1102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Список землепользователей земельных участков, прилагаемый к схеме (карте) расположения пастбищ Карасуского района</w:t>
      </w:r>
    </w:p>
    <w:bookmarkEnd w:id="1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собственников, землепользователей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Кадастровый номер земельного участка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тысяч гектаров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Месторасположение пастбищных угодий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хозяйство Журжа Л.В.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12181004075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Жалгыскан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хозяйство Журжа Л.В.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12181004074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Жалгыскан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Журжа Л.В.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12181004076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Жалгыскан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Валеев А.С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12181004100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Жалгыскан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"Костанай автотранс.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12181004089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Жалгыскан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"Костанай автотранс.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12181004084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Жалгыскан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"Костанай автотранс.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12181004001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Жалгыскан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"Костанай автотранс.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12181004023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Жалгыскан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"Убаганский"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12181004044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Жалгыскан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хозяйство Карамурзин Т.К.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12181004090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Жалгыскан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хозяйство Есмуханов Н.М.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12181006175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Ильичевский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Белого В.В.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12181006123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Ильичевский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Белого В.В.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12181006118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Ильичевский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Белого В.В.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12181006119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Ильичевский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Есмуханов Е.М.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12181006155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Ильичевский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Есмуханов Е.М.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12181006166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Ильичевский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Есмуханов Е.М.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12181006156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Ильичевский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Жумагулова Л.М.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12181006116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Ильичевский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Жумагулова Л.М.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12181005506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Ильичевский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Жумагулова Л.М.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12181006130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Ильичевский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Жумагулова Л.М.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12181006126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Ильичевский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Жумагулова Л.М.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12181006078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Ильичевский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"Караман-К".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12181010071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Ильичевский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"Караман-К".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12181010073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Ильичевский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"Караман-К".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12181010074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Ильичевский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"Караман-К" 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12181026138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Койбагарский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"Караман-К".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12181012064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"Караман-К".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12181012041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"Караман-К".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12181012045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"Караман-К".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12181014097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"Караман-К".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12181014062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"Караман-К".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б/к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"Караман-К".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12181012038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"Караман-К".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12181010071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Ильичевский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"Колос МЛ".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12181010073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Ильичевский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"Костанай автотранс.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12181010074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Ильичевский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"Костанай автотранс.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12181010127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Ильичевский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хозяйство Иманбаева Ж.А.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12181010132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Ильичевский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хозяйство Балжакаева А.Е.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12181010143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Ильичевский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хозяйство Турсунов К.А.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12181010152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Ильичевский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"Foodgrain".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12181010136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Ильичевский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"Foodgrain".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12181014115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"Astana Grand Trade".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12181010140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Ильичевский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"Astana Grand Trade".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12181010107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Ильичевский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"Astana Grand Trade".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12181010109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Ильичевский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"Astana Grand Trade".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12181006154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Ильичевский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"Astana Grand Trade".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12181006179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Ильичевский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"Astana Grand Trade".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12181006178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Ильичевский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о "Astana Grand Trade" 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12181006151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Ильичевский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"Astana Grand Trade".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12181014114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"Astana Grand Trade".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12181014116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"Astana Grand Trade".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12181021125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Черняевский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"Astana Grand Trade".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12181021124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Черняевский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"Astana Grand Trade".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12181049100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Айдарлинский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"Astana Grand Trade".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12181041032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Айдарлинский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хозяйство Жаутенов Е.О.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12181010170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Ильичевский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"Кемел Карасу".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12181010085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Ильичевский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"Кемел Карасу".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12181010101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Ильичевский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"Кемел Карасу".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12181010104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Ильичевский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"Ак Кайын".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12181008115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"Ак Кайын".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12181008118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"Ак Кайын".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12181008119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"Ак Кайын".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12181008113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"Ак Кайын".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12181008107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Симанович А.С.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12181008093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Есмагамбетова С.К.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12181014074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хозяйство Есмагамбетова С.К.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12181014080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хозяйство Есмагамбетова С.К.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12181014090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хозяйство Талах В.В.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12181014084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хозяйство Талах В.В.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12181014100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Талах В.В.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12181014099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хозяйство Талах В.В.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12181014130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Талах В.В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12181015440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Талах В.В.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12181015441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"Гасыр Карасу".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12181023185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"Гасыр Карасу".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12181012054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"Гасыр Карасу".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12181023171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"Гасыр Карасу".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12181023112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"Гасыр Карасу".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12181023176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"Гасыр Карасу".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12181023178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"Гасыр Карасу".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12181023179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О "Гасыр Карасу".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12181031049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"Гасыр Карасу".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12181022008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"Рамазан Карасу".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12181023087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"Рамазан Карасу".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12181031061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Карамырзинский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"Рамазан Карасу".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12181031044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Карамырзинский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"Рамазан Карасу".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12181037026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Карамырзинский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"Рамазан Карасу".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12181031058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Карамырзинский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"Ключевое"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12181018026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Новопавловка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"Ключевое".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12181018051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Новопавловка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"Ключевое".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12181018055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Новопавловка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хозяйство Салпенов А.М.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12181018048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Новопавловка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"Люблинка"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12181021147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Черняевский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"Люблинка".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12181029086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Люблинский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"Люблинка".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12181029088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Люблинский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"Люблинка".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12181029089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Люблинский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"Люблинка".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12181029096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Люблинский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хозяйство Балжакаев Е.З.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12181021167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Черняевский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Балжакаев Е.З.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12181019500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Черняевский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хозяйство Муканов С.Н.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12181021166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Черняевский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"Бирлик Омир".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12181021084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Черняевский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"Бирлик Омир".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12181021078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Черняевский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"Бирлик Омир".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12181021077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Черняевский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"Бирлик Омир".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12181021076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Черняевский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"Бирлик Омир".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12181021111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Черняевский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хозяйство Молдыбаев Е.О.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12181021146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Черняевский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хозяйство Мустафин Б.Б.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12181021149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Черняевский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хозяйство Сыздыков К.Е.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12181031059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Карамырзинский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хозяйство Сыздыков К.Е.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12181031070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Карамырзинский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Сыздыков К.Е.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12181031067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Карамырзинский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111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хозяйство Сыздыков К.Е.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12181039071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Карамырзинский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хозяйство Сыздыков К.Е.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12181039068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Карамырзинский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хозяйство Сыздыков К.Е.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12181039072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Карамырзинский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"Коргау".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12181026051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Койбагарский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"Коргау".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12181026026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Койбагарский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"Коргау".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12181026074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Койбагарский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"Коргау".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12181026063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Койбагарский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"Коргау".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12181018038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Койбагарский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"Коргау".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12181026028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Койбагарский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"Талды К".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12181026061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Койбагарский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"Талды К".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12181049136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Айдарлинский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"Талды К".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12181049089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Айдарлинский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"Талды К".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12181049081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Айдарлинский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"Талды К".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18181049084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Айдарлинский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"Талды К".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12181059099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Октябрьский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"Талды К".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12181059100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Октябрьский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"Талды К".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12181059101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Октябрьский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"Талды К".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12181059063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Октябрьский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"Талды К".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12181065110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Октябрьский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"Талды К".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12181065111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Октябрьский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"Талды К".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12181065115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Октябрьский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"Талды К".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12181065116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Октябрьский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"Талды К".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12181065118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Октябрьский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"Талды К".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12181065119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Октябрьский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"Талды К".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12181065120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Октябрьский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"Талды К".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12181065056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Октябрьский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"Талды К".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12181065058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Октябрьский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"Талды К".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12181069072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Ушаковский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"Талды К".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12181067075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Ушаковский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"Талды К".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12181071046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Ушаковский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хозяйство Миндибеков Р.А.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12181055160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Айдарлинский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хозяйство Халметов Ш.Э.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12181059091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Октябрьский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хозяйство Халметов Ш.Э.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12181050002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Айдарлинский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"Ак Ниет".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12181052129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Айдарлинский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"Ак Ниет".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12181049151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Айдарлинский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"Ак Ниет".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12181049144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Айдарлинский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"Ак Ниет".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12181059074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Октябрьский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"Батыр Моздок".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12181049177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Айдарлинский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"Батыр Моздок".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12181049173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Айдарлинский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"Батыр Моздок".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12181049104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Айдарлинский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"Батыр Моздок".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12181049153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Айдарлинский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"Батыр Моздок".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12181059104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Октябрьский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хозяйство Оспанов Б.К.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12181049157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Айдарлинский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"Железнодорожное АМФ".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12181055022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Октябрьский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"Железнодорожное АМФ".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12181055061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Октябрьский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"Железнодорожное АМФ".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12181055042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Октябрьский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"Железнодорожное АМФ".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12181055064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Октябрьский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"Железнодорожное АМФ".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12181055062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Октябрьский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"Железнодорожное АМФ".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12181055063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Октябрьский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"Железнодорожное АМФ".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12181055032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Октябрьский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"Железнодорожное АМФ".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12181055054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Октябрьский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"Железнодорожное АМФ".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12181055055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Октябрьский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Железнодорожное АМФ".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12181055053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Октябрьский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"Железнодорожное АМФ".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12181055057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Октябрьский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"Железнодорожное АМФ".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12181055066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Октябрьский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"Железнодорожное АМФ".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12181055067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Октябрьский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хозяйство Саладзе О.В.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12181061048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Октябрьский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хозяйство Саладзе О.В.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12181061021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Октябрьский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хозяйство Успанова Ж.Г.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12181059058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Октябрьский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Алекса В.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12181059090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Октябрьский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хозяйство Ещанова Ж.Т.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12181059086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Октябрьский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хозяйство Диханов А.С.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12181065114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Октябрьский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Молдабеков Б.Ш.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12181065097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Октябрьский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Бажылжанов М.Т.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12181065091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Октябрьский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хозяйство Крестьянское хозяйство Нургалиев Б.Б.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12181065093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Октябрьский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хозяйство Нургалиев Б.Б.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12181065077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Октябрьский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хозяйство Молдахметов А.К.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12181065090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Октябрьский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хозяйство Дощанова Б. С.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12181067096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Ушаковский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хозяйство Дощанова Б. С.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12181067057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Ушаковский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хозяйство Дощанова Б. С.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12181069125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Ушаковский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хозяйство Дощанов Н.К.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12181067104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Ушаковский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хозяйство Дощанов Н.К.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12181067081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Ушаковский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хозяйство Дощанов Н.К.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12181067082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Ушаковский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хозяйство Дощанов Н.К.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12181067017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Ушаковский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хозяйство Шкутко И.М.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12181067079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Ушаковский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хозяйство Шкутко И.М.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12181067134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Ушаковский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хозяйство Шеперин И.Н.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12181067131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Ушаковский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ТОО "Астык 2020"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12181069119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Ушаковский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ТОО "Астык 2020"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12181069118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Ушаковский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хозяйство Абдильдин А.А.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12181069124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Ушаковский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Балабай Б.К.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12181069126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Ушаковский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Жургимбекова А.К.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12181069123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Ушаковский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хозяйство Жургимбеков Д.М.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12181071093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Ушаковский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хозяйство Чайникова М.М.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12181004016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Жалгыскан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хозяйство Чайникова М.М.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12181004098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Жалгыскан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хозяйство Чайникова М.М.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12181004099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Жалгыскан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хозяйство Бубенцова Н.В.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12181061053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Октябрьский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хозяйство Бубенцова Н.В.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12181056046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Октябрьский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Ордин В.В.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12181016233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Алимгазиев М.А.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12181069069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Ушаковский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Журжа В.А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12181004025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Жалгыскан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Валеев С.Ф.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12181004064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Жалгыскан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Елимбаев Талгат Серикжанович.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12181004078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Жалгыскан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Ященко Сергей Викторович.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12181004081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Жалгыскан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хозяйство Карамурзин Талгат Курманбекович.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12181004090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Жалгыскан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Ерменов Болат Тасмурзинович.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12181010137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Ильичевский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хозяйство Щербаков В.А.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12181006170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Ильичевский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"Бидай К".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12181006142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Ильичевский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Балыкбаева Майраш Канзадановна.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12181014052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Гаджиев Гаджи Амираслан.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12181023181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Ильичевский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Авгумбаев Руслан Кабдулович.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12181023136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Ильичевский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ТОО "Макс".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12181055015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Октябрьский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Сальников Александр Николаевич.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12181055108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Октябрьский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ТОО "Кадал"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12181026076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Койбагарский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Шнайдер П.П.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12181026047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Койбагарский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Пятин В.К.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12181049082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Айдарлинский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Касьянова Н.В.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12181049159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Айдарлинский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Арефьев Ю.В.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12181049107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Айдарлинский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Успанов Т.Т.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12181059078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Октябрьский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Ергалиев М.Б.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12181059087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Октябрьский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Ергалиев М.Б.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12181059075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Искаков М.К.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12181059089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Октябрьский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"Бобер Инвест".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12181065094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Октябрьский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 сервис Карасу".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12181071023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Ушаковский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Лопоухов В.И.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12181071086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Ушаковский с/о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Малеревич Н.А.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12181069070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Ушаковский с/о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Карасускому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37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пастбищ, предназначенных для нужд населения по выпасу сельскохозяйственных животных личного подворья, в том числе общественных, на которой указываются границы и площади пастбищ, предназначенных для нужд населения по выпасу сельскохозяйственных животных личного подворья.</w:t>
      </w:r>
    </w:p>
    <w:bookmarkEnd w:id="18"/>
    <w:bookmarkStart w:name="z38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Площади сезонных пастбищ по Карасускому району составляет 295 235 гектаров.</w:t>
      </w:r>
    </w:p>
    <w:bookmarkEnd w:id="19"/>
    <w:bookmarkStart w:name="z39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 на землях сельскохозяйственного назначения 160 524 гектаров, на землях населенных пунктов 64 103 гектаров, на землях запаса 70 608 гектаров.</w:t>
      </w:r>
    </w:p>
    <w:bookmarkEnd w:id="20"/>
    <w:bookmarkStart w:name="z40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"/>
    <w:p>
      <w:pPr>
        <w:spacing w:after="0"/>
        <w:ind w:left="0"/>
        <w:jc w:val="both"/>
      </w:pPr>
      <w:r>
        <w:drawing>
          <wp:inline distT="0" distB="0" distL="0" distR="0">
            <wp:extent cx="7810500" cy="801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1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Карасускому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46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рекомендуемых схем пастбищеоборотов, на которой указываются схемы пастбищеоборотов, рекомендуемые на основании геоботанического обследования пастбищ на период 2025-2029 года.</w:t>
      </w:r>
    </w:p>
    <w:bookmarkEnd w:id="2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весенне-летний сезон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весенне-летний сезон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</w:tbl>
    <w:bookmarkStart w:name="z47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4 - очередность использования загонов в году</w:t>
      </w:r>
    </w:p>
    <w:bookmarkEnd w:id="23"/>
    <w:bookmarkStart w:name="z48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"/>
    <w:p>
      <w:pPr>
        <w:spacing w:after="0"/>
        <w:ind w:left="0"/>
        <w:jc w:val="both"/>
      </w:pPr>
      <w:r>
        <w:drawing>
          <wp:inline distT="0" distB="0" distL="0" distR="0">
            <wp:extent cx="7810500" cy="1104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4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Карасускому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55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с обозначением сервитутов для прогона сельскохозяйственных животных, скотопрогонных трасс и иных объектов пастбищной инфраструктуры, а также скотомогильников (биометрических ям.)</w:t>
      </w:r>
    </w:p>
    <w:bookmarkEnd w:id="25"/>
    <w:bookmarkStart w:name="z56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Карасуского района сервитуты для прогона сельскохозяйственных животных не оформлялись.</w:t>
      </w:r>
    </w:p>
    <w:bookmarkEnd w:id="26"/>
    <w:bookmarkStart w:name="z57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"/>
    <w:p>
      <w:pPr>
        <w:spacing w:after="0"/>
        <w:ind w:left="0"/>
        <w:jc w:val="both"/>
      </w:pPr>
      <w:r>
        <w:drawing>
          <wp:inline distT="0" distB="0" distL="0" distR="0">
            <wp:extent cx="7810500" cy="731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Карасускому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64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обозначениями пастбищ, которые могут быть предоставлены в землепользование пастбищепользователям.</w:t>
      </w:r>
    </w:p>
    <w:bookmarkEnd w:id="28"/>
    <w:bookmarkStart w:name="z65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"/>
    <w:p>
      <w:pPr>
        <w:spacing w:after="0"/>
        <w:ind w:left="0"/>
        <w:jc w:val="both"/>
      </w:pPr>
      <w:r>
        <w:drawing>
          <wp:inline distT="0" distB="0" distL="0" distR="0">
            <wp:extent cx="7810500" cy="646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6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Карасускому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71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пастбищ, подлежщих резервированию в целях удовлетворения нужд населения по выпасу сельскохозяйственных животных личного подворья, на которй указываются границы и площади пастбищ, подлежищих резервированию в целях удовлетворения нужд населения по выпасу сельскохозяйственных животных личного подворья.</w:t>
      </w:r>
    </w:p>
    <w:bookmarkEnd w:id="30"/>
    <w:bookmarkStart w:name="z72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 июня 2022 года, акимат Костанайской области вынес постановление № 254 от о резервировании земель на территории Карасуского района, на землях запаса, в целях удовлетворения нужд населения по содержанию их личного подворья общая площадь зарезервированных земель состовляет-3253,6 гектар (пастбищ).</w:t>
      </w:r>
    </w:p>
    <w:bookmarkEnd w:id="31"/>
    <w:bookmarkStart w:name="z73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49-2</w:t>
      </w:r>
      <w:r>
        <w:rPr>
          <w:rFonts w:ascii="Times New Roman"/>
          <w:b w:val="false"/>
          <w:i w:val="false"/>
          <w:color w:val="000000"/>
          <w:sz w:val="28"/>
        </w:rPr>
        <w:t xml:space="preserve"> земельного кодекса Республики Казахстан Правил резервирования земель, утвержденных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национальной экономики Республики Казахстан от 28 февраля 2015 года № 178, была проведена работа по резервирование участков, находящихся в составе земель запаса района, расположенных вблизи населенных пунктов, в целях удовлетворения нужд населения по содержанию личного подворья:</w:t>
      </w:r>
    </w:p>
    <w:bookmarkEnd w:id="32"/>
    <w:bookmarkStart w:name="z74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Резервированию подлежат пастбища в целях удовлетворения нужд населения по выпасу сельскохозяйственных животных личного подворья, на территории села Жалгыскан, Айдарлинского сельского округа, село Герцено.</w:t>
      </w:r>
    </w:p>
    <w:bookmarkEnd w:id="33"/>
    <w:bookmarkStart w:name="z75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"/>
    <w:p>
      <w:pPr>
        <w:spacing w:after="0"/>
        <w:ind w:left="0"/>
        <w:jc w:val="both"/>
      </w:pPr>
      <w:r>
        <w:drawing>
          <wp:inline distT="0" distB="0" distL="0" distR="0">
            <wp:extent cx="7810500" cy="1102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Карасускому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82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видеоисточникам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воды, на которой указывается маршрут передвижения к водоисточникам.</w:t>
      </w:r>
    </w:p>
    <w:bookmarkEnd w:id="35"/>
    <w:bookmarkStart w:name="z83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Настоящая Методика по разработке удельных норм водопотребления и водоотведения (далее – методика) разработана в соответствии с подпунктом 4-3) пункта 1 </w:t>
      </w:r>
      <w:r>
        <w:rPr>
          <w:rFonts w:ascii="Times New Roman"/>
          <w:b w:val="false"/>
          <w:i w:val="false"/>
          <w:color w:val="000000"/>
          <w:sz w:val="28"/>
        </w:rPr>
        <w:t>статьи 37</w:t>
      </w:r>
      <w:r>
        <w:rPr>
          <w:rFonts w:ascii="Times New Roman"/>
          <w:b w:val="false"/>
          <w:i w:val="false"/>
          <w:color w:val="000000"/>
          <w:sz w:val="28"/>
        </w:rPr>
        <w:t xml:space="preserve"> Водного кодекса Республики Казахстан от 9 июля 2003 года (далее – Кодекс) и определяет порядок разработки водопользователями удельных норм водопотребления и водоотведения (далее – удельные нормы)., утвержденных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Министра сельского хозяйства Республики Казахстан от 18 сентября 2020 года № 228 (Зарегистрирован в Министерстве юстиции Республики Казахстан 21 сентября 2020 года № 21230).</w:t>
      </w:r>
    </w:p>
    <w:bookmarkEnd w:id="36"/>
    <w:bookmarkStart w:name="z84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 суточная потребления воды на одно животное определяется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приложением 6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разработке удельных норм водопотребления и водоотведения, утвержденной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–Министра сельского хозяйства Республики Казахстан от 30 декабря 2016 года № 545 (зарегистрирован в реестре государственной регистрации нормативно правовых актов № 14827).</w:t>
      </w:r>
    </w:p>
    <w:bookmarkEnd w:id="3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Природные зоны и соответствующие коэффициенты увлажненности, Ку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Шифр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Административные области и районы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Основные типы почв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Сухая степь, Ку =0,40-0,30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СС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Костанайская область: Карасуский район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темно-каштановые, типично-каштановые</w:t>
            </w:r>
          </w:p>
        </w:tc>
      </w:tr>
    </w:tbl>
    <w:bookmarkStart w:name="z85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Оросительных или обводнительных каналов на территории района не имеется.</w:t>
      </w:r>
    </w:p>
    <w:bookmarkEnd w:id="38"/>
    <w:bookmarkStart w:name="z86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пунктом 1-2 </w:t>
      </w:r>
      <w:r>
        <w:rPr>
          <w:rFonts w:ascii="Times New Roman"/>
          <w:b w:val="false"/>
          <w:i w:val="false"/>
          <w:color w:val="000000"/>
          <w:sz w:val="28"/>
        </w:rPr>
        <w:t>статьи 14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о пастбищах доступ к обводнительным сооружениям, состоящим на балансе государственных юридических лиц и расположенным на пастбищах, предназначенных для нужд населения по выпасу сельскохозяйственных животных личного подворья, в том числе общественных пастбищах, предоставляется на безвозмездной основе.</w:t>
      </w:r>
    </w:p>
    <w:bookmarkEnd w:id="39"/>
    <w:bookmarkStart w:name="z87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Водопойные пункты размещаются с учетом видов и групп выпасного поголовья животных, сезонности их использования участков, рельефа местности. При размещении водоисточников необходимо учитывать удобные подходы к водопою и соблюдать санитарно-профилактические правила. В этих целях нельзя допускать размещение водоисточников на заболоченных, затапливаемых и загрязненных участках, а также проектировать к обслуживанию из одного водопойного пункта не более 250 голов крупного рогатого скота или 2000 овец.</w:t>
      </w:r>
    </w:p>
    <w:bookmarkEnd w:id="40"/>
    <w:bookmarkStart w:name="z88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Исходя из вышеизложенного сельскохозяйственные животные в зоне пастбищ имеют свободный доступ к водным объектам. Вместе с тем в отдельных участках используются специально отведенные места на водных объектах, соответствующим образом оборудованные для водопоя сельскохозяйственных животных.</w:t>
      </w:r>
    </w:p>
    <w:bookmarkEnd w:id="41"/>
    <w:bookmarkStart w:name="z89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Источниками пастбищного водоснабжения являются естественные водоемы, таких как реки, озера и пруды с проточной водой.</w:t>
      </w:r>
    </w:p>
    <w:bookmarkEnd w:id="42"/>
    <w:bookmarkStart w:name="z90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 потребности в воде по видам сельскохозяйственных животных и сезонам года производится по следующим нормам:</w:t>
      </w:r>
    </w:p>
    <w:bookmarkEnd w:id="43"/>
    <w:bookmarkStart w:name="z91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крупного рогатого скота и лошадей – 45 – 60 литров;</w:t>
      </w:r>
    </w:p>
    <w:bookmarkEnd w:id="44"/>
    <w:bookmarkStart w:name="z92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молодняка в возрасте 1-2 года – 25 – 35 литров;</w:t>
      </w:r>
    </w:p>
    <w:bookmarkEnd w:id="45"/>
    <w:bookmarkStart w:name="z93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молодняка младше одного года – 10 – 15 литров;</w:t>
      </w:r>
    </w:p>
    <w:bookmarkEnd w:id="46"/>
    <w:bookmarkStart w:name="z94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овец и коз – 3 – 5 литров;</w:t>
      </w:r>
    </w:p>
    <w:bookmarkEnd w:id="47"/>
    <w:bookmarkStart w:name="z95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ягнят – 1-2 литра.</w:t>
      </w:r>
    </w:p>
    <w:bookmarkEnd w:id="48"/>
    <w:bookmarkStart w:name="z96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Допустимое расстояние от пастбища до водопоя составляет:</w:t>
      </w:r>
    </w:p>
    <w:bookmarkEnd w:id="49"/>
    <w:bookmarkStart w:name="z97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коров – 2,5 км;</w:t>
      </w:r>
    </w:p>
    <w:bookmarkEnd w:id="50"/>
    <w:bookmarkStart w:name="z98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телят – 1 км;</w:t>
      </w:r>
    </w:p>
    <w:bookmarkEnd w:id="51"/>
    <w:bookmarkStart w:name="z99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молодняка крупного рогатого скота – 2,5 км;</w:t>
      </w:r>
    </w:p>
    <w:bookmarkEnd w:id="52"/>
    <w:bookmarkStart w:name="z100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овец и коз – 3 км;</w:t>
      </w:r>
    </w:p>
    <w:bookmarkEnd w:id="53"/>
    <w:bookmarkStart w:name="z101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и верблюдов – до 4,6 км.</w:t>
      </w:r>
    </w:p>
    <w:bookmarkEnd w:id="54"/>
    <w:bookmarkStart w:name="z102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Пастбищные угодья Карасуского района в основном полностью обеспечены водой.</w:t>
      </w:r>
    </w:p>
    <w:bookmarkEnd w:id="55"/>
    <w:bookmarkStart w:name="z103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Оросительных или обводнительных каналов на территории района не имеется.</w:t>
      </w:r>
    </w:p>
    <w:bookmarkEnd w:id="56"/>
    <w:bookmarkStart w:name="z104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Условные обозначения к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57"/>
    <w:bookmarkStart w:name="z105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8"/>
    <w:p>
      <w:pPr>
        <w:spacing w:after="0"/>
        <w:ind w:left="0"/>
        <w:jc w:val="both"/>
      </w:pPr>
      <w:r>
        <w:drawing>
          <wp:inline distT="0" distB="0" distL="0" distR="0">
            <wp:extent cx="7810500" cy="598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6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9"/>
    <w:p>
      <w:pPr>
        <w:spacing w:after="0"/>
        <w:ind w:left="0"/>
        <w:jc w:val="both"/>
      </w:pPr>
      <w:r>
        <w:drawing>
          <wp:inline distT="0" distB="0" distL="0" distR="0">
            <wp:extent cx="7810500" cy="102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7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0"/>
    <w:p>
      <w:pPr>
        <w:spacing w:after="0"/>
        <w:ind w:left="0"/>
        <w:jc w:val="both"/>
      </w:pPr>
      <w:r>
        <w:drawing>
          <wp:inline distT="0" distB="0" distL="0" distR="0">
            <wp:extent cx="7810500" cy="1102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Карасускому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14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указываются границы и площади отгонных пастбищ для размещения поголовья сельскохозяйственных животных.</w:t>
      </w:r>
    </w:p>
    <w:bookmarkEnd w:id="61"/>
    <w:bookmarkStart w:name="z115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2"/>
    <w:p>
      <w:pPr>
        <w:spacing w:after="0"/>
        <w:ind w:left="0"/>
        <w:jc w:val="both"/>
      </w:pPr>
      <w:r>
        <w:drawing>
          <wp:inline distT="0" distB="0" distL="0" distR="0">
            <wp:extent cx="7810500" cy="886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Карасускому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22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Проектное распределение (перераспределение) пастбищ между сельскими населенными пунктами, входящими в сельский округ, на котором указывается схема распределения (перераспределения) пастбищ между сельскими населенными пунктами сельского округа для поголовья сельскохозяйственных животных физических и юридических лиц не обеспеченных пастбищами.</w:t>
      </w:r>
    </w:p>
    <w:bookmarkEnd w:id="63"/>
    <w:bookmarkStart w:name="z123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4"/>
    <w:p>
      <w:pPr>
        <w:spacing w:after="0"/>
        <w:ind w:left="0"/>
        <w:jc w:val="both"/>
      </w:pPr>
      <w:r>
        <w:drawing>
          <wp:inline distT="0" distB="0" distL="0" distR="0">
            <wp:extent cx="7810500" cy="1104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4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Карасускому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30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Иные требования, необходимые для рационального использования пастбищ на соответствующей административно-территориальной единице.</w:t>
      </w:r>
    </w:p>
    <w:bookmarkEnd w:id="65"/>
    <w:bookmarkStart w:name="z131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пунктом 1-1 </w:t>
      </w:r>
      <w:r>
        <w:rPr>
          <w:rFonts w:ascii="Times New Roman"/>
          <w:b w:val="false"/>
          <w:i w:val="false"/>
          <w:color w:val="000000"/>
          <w:sz w:val="28"/>
        </w:rPr>
        <w:t>статьи 14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о пастбищах, пастбища, в том числе общественные пастбища, указанные в подпункте 2) пункта 2 </w:t>
      </w:r>
      <w:r>
        <w:rPr>
          <w:rFonts w:ascii="Times New Roman"/>
          <w:b w:val="false"/>
          <w:i w:val="false"/>
          <w:color w:val="000000"/>
          <w:sz w:val="28"/>
        </w:rPr>
        <w:t>статьи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Закона, не предоставляются в частную собственность и землепользование и используются только для нужд населения для выпаса сельскохозяйственных животных личного подворья.</w:t>
      </w:r>
    </w:p>
    <w:bookmarkEnd w:id="66"/>
    <w:bookmarkStart w:name="z132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о пастбищах:</w:t>
      </w:r>
    </w:p>
    <w:bookmarkEnd w:id="67"/>
    <w:bookmarkStart w:name="z133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Пастбища, расположенные на территории, непосредственно прилегающей к границам (чертам) населенных пунктов, находящиеся в государственной собственности, используются для удовлетворения нужд населения для выпаса сельскохозяйственных животных личного подворья.</w:t>
      </w:r>
    </w:p>
    <w:bookmarkEnd w:id="68"/>
    <w:bookmarkStart w:name="z134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Выпас на пастбищах, указанных в пункте 1 настоящей статьи, других сельскохозяйственных животных допускается только при соблюдении предельно допустимых норм нагрузки на общую площадь пастбищ.</w:t>
      </w:r>
    </w:p>
    <w:bookmarkEnd w:id="69"/>
    <w:bookmarkStart w:name="z135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Поголовье сельскохозяйственных животных физических и (или) юридических лиц, не обеспеченных пастбищами в пределах границ (черты) населенного пункта, перемещается на другие участки пастбищ, в том числе на отгонные пастбища, согласно Плану по управлению пастбищами и их использованию.</w:t>
      </w:r>
    </w:p>
    <w:bookmarkEnd w:id="70"/>
    <w:bookmarkStart w:name="z136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Использование пастбищ, предназначенных для выпаса сельскохозяйственных животных личного подворья, в том числе отгонных пастбищ, осуществляется в соответствии с Планом по управлению пастбищами и их использованию. Вынесения отдельного решения акимов города районного значения, поселка, села, сельского округа и местного исполнительного органа района, города областного значения о предоставлении пастбищ не требуется.</w:t>
      </w:r>
    </w:p>
    <w:bookmarkEnd w:id="71"/>
    <w:bookmarkStart w:name="z137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Согласно пункта 3 </w:t>
      </w:r>
      <w:r>
        <w:rPr>
          <w:rFonts w:ascii="Times New Roman"/>
          <w:b w:val="false"/>
          <w:i w:val="false"/>
          <w:color w:val="000000"/>
          <w:sz w:val="28"/>
        </w:rPr>
        <w:t>статьи 26</w:t>
      </w:r>
      <w:r>
        <w:rPr>
          <w:rFonts w:ascii="Times New Roman"/>
          <w:b w:val="false"/>
          <w:i w:val="false"/>
          <w:color w:val="000000"/>
          <w:sz w:val="28"/>
        </w:rPr>
        <w:t xml:space="preserve"> земельного кодекса РК не предоставляются в раздельную собственность и землепользование граждан и негосударственных юридических лиц земельные участки, занятые:</w:t>
      </w:r>
    </w:p>
    <w:bookmarkEnd w:id="72"/>
    <w:bookmarkStart w:name="z138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сенокосными угодьями, используемыми и предназначенными для нужд населения, в том числе находящимися в пределах границы городов областного и районного значения, поселков, сельских населенных пунктов, то такие земельные участки будут изыматься в государственную собственность в судебном порядке.</w:t>
      </w:r>
    </w:p>
    <w:bookmarkEnd w:id="7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Статья 98</w:t>
      </w:r>
      <w:r>
        <w:rPr>
          <w:rFonts w:ascii="Times New Roman"/>
          <w:b w:val="false"/>
          <w:i w:val="false"/>
          <w:color w:val="000000"/>
          <w:sz w:val="28"/>
        </w:rPr>
        <w:t xml:space="preserve"> земельного кодекса Республики Казахстан. Порядок перевода сельскохозяйственных угодий из одного вида в другой. Запрещается перевод пастбищ, предназначенных для удовлетворения нужд населения для выпаса сельскохозяйственных животных личного подворья, в том числе общественных пастбищ, в другие виды сельскохозяйственных угодий.</w:t>
      </w:r>
    </w:p>
    <w:bookmarkStart w:name="z140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пунктом 1-2 </w:t>
      </w:r>
      <w:r>
        <w:rPr>
          <w:rFonts w:ascii="Times New Roman"/>
          <w:b w:val="false"/>
          <w:i w:val="false"/>
          <w:color w:val="000000"/>
          <w:sz w:val="28"/>
        </w:rPr>
        <w:t>статьи 14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о пастбищах доступ к обводнительным сооружениям, состоящим на балансе государственных юридических лиц и расположенным на пастбищах, предназначенных для нужд населения по выпасу сельскохозяйственных животных личного подворья, в том числе общественных пастбищах, предоставляется на безвозмездной основе.</w:t>
      </w:r>
    </w:p>
    <w:bookmarkEnd w:id="7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 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Карасускому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45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7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сел,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2025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2029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Койбагарский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Жалгыскан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Октябрьский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Ильчевский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Карамырзинский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Люблинский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Новопавловка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Ушаковский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Челгашинский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Черняевский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