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294" w14:textId="f642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Успенскому району на 2025 - 2029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марта 2025 года № 147/30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Успенскому району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147/30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Успенскому району на 2025 - 2029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Успенскому району на 2025 - 2029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рекомендуемых схем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(карта) с обозначением рекомендуемых схем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(карта) с обозначением пастбищ, которые могут быть предоставлены в землепользование пастбищепользователям,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Проектное распределение (перераспределение) пастбищ между сельскими населенными пунктами, входящими в сельский округ не производилось.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зоной южных черноземов и сухостепной зоной темно-каштановых почв. Почвы, в основном, залегают в виде комплексов, сочетаний и пятнистостей, содержание гумуса в них невысокое,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90 видов широко распространенных цветковых растений, относящихся к 20 семействам и 70 родам. Наибольшее распространение получили три семейства: злаковые, сложноцветные, маревые, также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1,5 - 3,5 центнеров.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Успенский район расположен на востоке Павлодарской области, северо-восточнее от города Павлодара и граничит на северо-западе с районом Тереңкөл, на юго-западе с Павлодарским районом, на юго-востоке с Щербактинским районом, на востоке с землями Российской Федерации. Районный центр – село Успенка. Административно-территориальное деление состоит из 21 сельского населенного пункта, расположенного в 7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18 до минус 19 градусов по Цельсию, в июле от плюс 20 до плюс 21 градусов по Цельсию. Годовое количество атмосферных осадков составляет 250 миллиметров. Преобладают юго-западные и северные ветры, часты восточные суховеи.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Успенского района 549 416,37 гектаров, из них пастбищные земли – 184 660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Успенском районе всего по данным земельного баланса числится 351 сельскохозяйственных формирований на общей площади 393 896 гектаров, в том числе пастбищ 99 930 гектаров,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крестьянские (фермерские) хозяйства 205 на площади 216 928 гектаров, в том числе пастбищ 35 852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огородники 2 на площади 402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граждане, занимающиеся сенокошением и выпасом скота 102 на площади 37 388 гектаров, в том числе пастбищ 33 419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хозяйственные товарищества и общества 38 на площади 131 122 гектаров, в том числе пастбищ 29 887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производственные кооперативы 3 на площади 6 609 гектаров, в том числе пастбищ 679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научно-исследовательские и учебные учреждения и заведения 1 на площади 1 446 гектаров, в том числе пастбищ 91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Успенского района составляет: 17 828 голов крупного рогатого скота, 26 446 голов мелкого рогатого скота, 7 728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сельскохозяйственных животных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овец в возрасте до 1 года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весеннее и осеннее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7 месяцев –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зимнее время (литров в сутки на 1 голову скота):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молочные –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коровы сухостойные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нетели в возрасте до 2 лет –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телята в возрасте до 6 месяцев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рабочие, не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племенные, кормящие матки –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жеребята в возрасте до 1,5 лет –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овцы взрослые –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допустимая норма нагрузки на общую площадь пастбищ по Успенскому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засушливой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9,0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1,8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10,8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подзоне сухой степи: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– 8,5 гектар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рогатый скот – 1,7 гектара на 1 голову;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10,2 гектар на 1 голову.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18 ветеринарно-санитарных объекта, из них: 12 скотомогильников, 3 ветеринарных пункта, 3 убойных площадок.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Успенском районе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Успенского района, 184 660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Козыкеткен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Козыкеткен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Қызылағаш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выпаса сельскохозяйственных животных необходимо 36 167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15 884 голов выпасаются на общественных пастбищах, площадью 60 904 гектаров, отгонных пастбищ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пастбища, подлежащие резервированию в целях удовлетворения нужд населения по выпасу сельскохозяйственных животных личного подворья,тысяч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10.12.1980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 песчаный, зопник клубненосный.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 на темнокаштановых почвах, ковыльно-типчаково разнотравная, ковыльно-типчаково-полынная, типчаково-полынная с разнотравием,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ковыльно- типчаково-полыный,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17.02.1981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 разнотравный, типчаково-разнотравная, полынно-разнотравная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Ковыльно-типчаково-разнотравный, типчаково-ковыльно-полынная с разнотравием, типчаково-полынная, сорнотравная.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18.03.1981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Ковыльно-разнотравный, Ковыльно-типчаково- разнотравная, типчаково- разнотравная, злаково-полынная.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11.08.19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Ковыльно-типчаковый, сорнотравная, типчаково-полыный, полыно-злаково-разнотравная.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пукнт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Весной-Летом-Осенью (далее-ВЛО)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коз и овец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</w:t>
      </w:r>
      <w:r>
        <w:br/>
      </w:r>
      <w:r>
        <w:rPr>
          <w:rFonts w:ascii="Times New Roman"/>
          <w:b/>
          <w:i w:val="false"/>
          <w:color w:val="000000"/>
        </w:rPr>
        <w:t>сервитутах для прогона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объектов пастбищной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и</w:t>
      </w:r>
      <w:r>
        <w:br/>
      </w:r>
      <w:r>
        <w:rPr>
          <w:rFonts w:ascii="Times New Roman"/>
          <w:b/>
          <w:i w:val="false"/>
          <w:color w:val="000000"/>
        </w:rPr>
        <w:t>половозрастным группам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предназначенных для нужд</w:t>
      </w:r>
      <w:r>
        <w:br/>
      </w:r>
      <w:r>
        <w:rPr>
          <w:rFonts w:ascii="Times New Roman"/>
          <w:b/>
          <w:i w:val="false"/>
          <w:color w:val="000000"/>
        </w:rPr>
        <w:t>населения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в том числе общественных пастбищ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рекомендуемых схем пастбищеоборотов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а также скотомогильников (биометрических ям)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пастбищ, подлежащих резервированию</w:t>
      </w:r>
      <w:r>
        <w:br/>
      </w:r>
      <w:r>
        <w:rPr>
          <w:rFonts w:ascii="Times New Roman"/>
          <w:b/>
          <w:i w:val="false"/>
          <w:color w:val="000000"/>
        </w:rPr>
        <w:t>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</w:t>
      </w:r>
      <w:r>
        <w:br/>
      </w:r>
      <w:r>
        <w:rPr>
          <w:rFonts w:ascii="Times New Roman"/>
          <w:b/>
          <w:i w:val="false"/>
          <w:color w:val="000000"/>
        </w:rPr>
        <w:t>шахтным колодцам), составленная согласно норме потребления воды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