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0ba9" w14:textId="4190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3 марта 2025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Жетысайского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акимата Жетысайского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Жетысайского района.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03.2025 года 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Жетысайского района 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Жетысайского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Жетысайского района (далее – акимат), подготовки и оформления проектов актов акимата и акима Жетысайского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Законом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