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f057" w14:textId="b06f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Положения об условиях оплаты труда в органах Содружества Независимых Государств, финансируемых из единого бюджета органов Содружества Независимых Государств, утвержденного Решением Совета глав правительств Содружества Независимых Государств от 25 апреля 2003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2 марта 2006 года N 01-1/2-05</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Керимбаевой А.Ш., </w:t>
      </w:r>
      <w:r>
        <w:br/>
      </w:r>
      <w:r>
        <w:rPr>
          <w:rFonts w:ascii="Times New Roman"/>
          <w:b w:val="false"/>
          <w:i w:val="false"/>
          <w:color w:val="000000"/>
          <w:sz w:val="28"/>
        </w:rPr>
        <w:t xml:space="preserve">
      судей Экономического Суда: Абдуллоева Ф., Жолдыбаева С.Ж., Мирошник В.И., Молчановой Т.Н.,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Курылевой О.С, </w:t>
      </w:r>
      <w:r>
        <w:br/>
      </w:r>
      <w:r>
        <w:rPr>
          <w:rFonts w:ascii="Times New Roman"/>
          <w:b w:val="false"/>
          <w:i w:val="false"/>
          <w:color w:val="000000"/>
          <w:sz w:val="28"/>
        </w:rPr>
        <w:t xml:space="preserve">
      представителя Секретариата Совета министров обороны государств-участников Содружества Независимых Государств Карпова С.И., </w:t>
      </w:r>
      <w:r>
        <w:br/>
      </w:r>
      <w:r>
        <w:rPr>
          <w:rFonts w:ascii="Times New Roman"/>
          <w:b w:val="false"/>
          <w:i w:val="false"/>
          <w:color w:val="000000"/>
          <w:sz w:val="28"/>
        </w:rPr>
        <w:t xml:space="preserve">
      рассмотрев в открытом судебном заседании дело по запросу Штаба по координации военного сотрудничества государств-участников Содружества Независимых Государств о толковании, </w:t>
      </w:r>
    </w:p>
    <w:bookmarkEnd w:id="0"/>
    <w:p>
      <w:pPr>
        <w:spacing w:after="0"/>
        <w:ind w:left="0"/>
        <w:jc w:val="left"/>
      </w:pPr>
      <w:r>
        <w:rPr>
          <w:rFonts w:ascii="Times New Roman"/>
          <w:b/>
          <w:i w:val="false"/>
          <w:color w:val="000000"/>
        </w:rPr>
        <w:t xml:space="preserve"> УСТАНОВИЛ : </w:t>
      </w:r>
    </w:p>
    <w:bookmarkStart w:name="z2" w:id="1"/>
    <w:p>
      <w:pPr>
        <w:spacing w:after="0"/>
        <w:ind w:left="0"/>
        <w:jc w:val="both"/>
      </w:pPr>
      <w:r>
        <w:rPr>
          <w:rFonts w:ascii="Times New Roman"/>
          <w:b w:val="false"/>
          <w:i w:val="false"/>
          <w:color w:val="000000"/>
          <w:sz w:val="28"/>
        </w:rPr>
        <w:t>
      Штаб по координации военного сотрудничества государств-участников Содружества Независимых Государств обратился в Экономический Суд Содружества Независимых Государств с запросом о толковании применения  </w:t>
      </w:r>
      <w:r>
        <w:rPr>
          <w:rFonts w:ascii="Times New Roman"/>
          <w:b w:val="false"/>
          <w:i w:val="false"/>
          <w:color w:val="000000"/>
          <w:sz w:val="28"/>
        </w:rPr>
        <w:t xml:space="preserve">пунктов 16 </w:t>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Положения об условиях оплаты труда в органах Содружества Независимых Государств, финансируемых из единого бюджета органов СНГ, утвержденного Решением Совета глав правительств Содружества Независимых Государств об условиях оплаты труда в органах Содружества Независимых Государств, финансируемых из единого бюджета органов Содружества Независимых Государств, от 25 апреля 2003 года (далее - Положение) в части определения правовой природы повышающего коэффициента за особые условия службы в межгосударственных органах, установленного пунктом 18 Положения как составляющей денежного содержания военнослужащих рабочих органов Совета министров обороны государств-участников Содружества Независимых Государств. </w:t>
      </w:r>
    </w:p>
    <w:bookmarkEnd w:id="1"/>
    <w:bookmarkStart w:name="z3" w:id="2"/>
    <w:p>
      <w:pPr>
        <w:spacing w:after="0"/>
        <w:ind w:left="0"/>
        <w:jc w:val="both"/>
      </w:pPr>
      <w:r>
        <w:rPr>
          <w:rFonts w:ascii="Times New Roman"/>
          <w:b w:val="false"/>
          <w:i w:val="false"/>
          <w:color w:val="000000"/>
          <w:sz w:val="28"/>
        </w:rPr>
        <w:t>
      Основанием для запроса послужило неоднозначное понимание в государствах-участниках вопроса о применении коэффициента, установленного  </w:t>
      </w:r>
      <w:r>
        <w:rPr>
          <w:rFonts w:ascii="Times New Roman"/>
          <w:b w:val="false"/>
          <w:i w:val="false"/>
          <w:color w:val="000000"/>
          <w:sz w:val="28"/>
        </w:rPr>
        <w:t xml:space="preserve">пунктом 18 </w:t>
      </w:r>
      <w:r>
        <w:rPr>
          <w:rFonts w:ascii="Times New Roman"/>
          <w:b w:val="false"/>
          <w:i w:val="false"/>
          <w:color w:val="000000"/>
          <w:sz w:val="28"/>
        </w:rPr>
        <w:t xml:space="preserve">Положения, при определении должностного оклада для начисления пенсий военнослужащим рабочих органов Совета министров обороны государств-участников Содружества Независимых Государств, уволенным с военной службы из этих органов. </w:t>
      </w:r>
    </w:p>
    <w:bookmarkEnd w:id="2"/>
    <w:bookmarkStart w:name="z4" w:id="3"/>
    <w:p>
      <w:pPr>
        <w:spacing w:after="0"/>
        <w:ind w:left="0"/>
        <w:jc w:val="both"/>
      </w:pPr>
      <w:r>
        <w:rPr>
          <w:rFonts w:ascii="Times New Roman"/>
          <w:b w:val="false"/>
          <w:i w:val="false"/>
          <w:color w:val="000000"/>
          <w:sz w:val="28"/>
        </w:rPr>
        <w:t xml:space="preserve">
      Штаб по координации военного сотрудничества в запросе о толковании просит разъяснить, произошло ли в результате установления повышающего коэффициента увеличение должностных окладов военнослужащих рабочих органов Совета министров обороны государств-участников СНГ. </w:t>
      </w:r>
    </w:p>
    <w:bookmarkEnd w:id="3"/>
    <w:bookmarkStart w:name="z5" w:id="4"/>
    <w:p>
      <w:pPr>
        <w:spacing w:after="0"/>
        <w:ind w:left="0"/>
        <w:jc w:val="both"/>
      </w:pPr>
      <w:r>
        <w:rPr>
          <w:rFonts w:ascii="Times New Roman"/>
          <w:b w:val="false"/>
          <w:i w:val="false"/>
          <w:color w:val="000000"/>
          <w:sz w:val="28"/>
        </w:rPr>
        <w:t xml:space="preserve">
      На основании Решения Совета глав государств Содружества Независимых Государств о совершенствовании и реформировании органов Содружества Независимых Государств от 26 августа 2005 года Штаб по координации военного сотрудничества Содружества Независимых Государств упразднен. Его правопреемником согласно пункту 7.3 Решения с 1 января 2006 года является Секретариат Совета министров обороны государств-участников Содружества Независимых Государств, в связи, с чем Экономическим Судом СНГ вынесено определение о замене заявителя по делу - Штаба по координации военного сотрудничества Содружества Независимых Государств его правопреемником - Секретариатом Совета министров обороны государств-участников СНГ. </w:t>
      </w:r>
    </w:p>
    <w:bookmarkEnd w:id="4"/>
    <w:bookmarkStart w:name="z6" w:id="5"/>
    <w:p>
      <w:pPr>
        <w:spacing w:after="0"/>
        <w:ind w:left="0"/>
        <w:jc w:val="both"/>
      </w:pPr>
      <w:r>
        <w:rPr>
          <w:rFonts w:ascii="Times New Roman"/>
          <w:b w:val="false"/>
          <w:i w:val="false"/>
          <w:color w:val="000000"/>
          <w:sz w:val="28"/>
        </w:rPr>
        <w:t xml:space="preserve">
      В соответствии с общепризнанными принципами международного права толкование осуществлено исходя из обычного значения используемых в Решении терминов в их контексте, а также в свете объекта и целей данного акта. Экономический Суд для целей толкования обратился также к дополнительным источникам, и в частности к предварительным материалам, связанным с подготовкой проекта толкуемого Решения. </w:t>
      </w:r>
    </w:p>
    <w:bookmarkEnd w:id="5"/>
    <w:bookmarkStart w:name="z7" w:id="6"/>
    <w:p>
      <w:pPr>
        <w:spacing w:after="0"/>
        <w:ind w:left="0"/>
        <w:jc w:val="both"/>
      </w:pPr>
      <w:r>
        <w:rPr>
          <w:rFonts w:ascii="Times New Roman"/>
          <w:b w:val="false"/>
          <w:i w:val="false"/>
          <w:color w:val="000000"/>
          <w:sz w:val="28"/>
        </w:rPr>
        <w:t xml:space="preserve">
      Заслушав судью-докладчика Мирогиник В.П., представителя Секретариата Совета министров обороны государств-участников Содружества Независимых Государств Карпова С.И., обсудив заключение Генерального советника Экономического Суда Курылевой О.С. и исследовав имеющиеся в деле документы, Экономический Суд пришел к следующим выводам. </w:t>
      </w:r>
    </w:p>
    <w:bookmarkEnd w:id="6"/>
    <w:bookmarkStart w:name="z8" w:id="7"/>
    <w:p>
      <w:pPr>
        <w:spacing w:after="0"/>
        <w:ind w:left="0"/>
        <w:jc w:val="both"/>
      </w:pPr>
      <w:r>
        <w:rPr>
          <w:rFonts w:ascii="Times New Roman"/>
          <w:b w:val="false"/>
          <w:i w:val="false"/>
          <w:color w:val="000000"/>
          <w:sz w:val="28"/>
        </w:rPr>
        <w:t xml:space="preserve">
      Положение определило структуру и условия оплаты труда в органах Содружества Независимых Государств, в том числе военнослужащих, сотрудников органов внутренних дел и гражданского персонала рабочих органов Совета министров обороны. Совета командующих Пограничными войсками, Совета министров внутренних дел государств-участников СНГ и Антитеррористического центра государств-участников СНГ. </w:t>
      </w:r>
    </w:p>
    <w:bookmarkEnd w:id="7"/>
    <w:bookmarkStart w:name="z9" w:id="8"/>
    <w:p>
      <w:pPr>
        <w:spacing w:after="0"/>
        <w:ind w:left="0"/>
        <w:jc w:val="both"/>
      </w:pPr>
      <w:r>
        <w:rPr>
          <w:rFonts w:ascii="Times New Roman"/>
          <w:b w:val="false"/>
          <w:i w:val="false"/>
          <w:color w:val="000000"/>
          <w:sz w:val="28"/>
        </w:rPr>
        <w:t xml:space="preserve">
      Согласно преамбуле Решения Совета глав правительств СНГ от 25 апреля 2003 года об утверждении Положения целью принятия данного акта является упорядочение денежного содержания должностных лиц, сотрудников, военнослужащих, сотрудников органов внутренних дел и гражданского персонала органов Содружества Независимых Государств, финансируемых из единого бюджета органов СНГ за счет средств государств-участников Содружества. </w:t>
      </w:r>
    </w:p>
    <w:bookmarkEnd w:id="8"/>
    <w:bookmarkStart w:name="z10" w:id="9"/>
    <w:p>
      <w:pPr>
        <w:spacing w:after="0"/>
        <w:ind w:left="0"/>
        <w:jc w:val="both"/>
      </w:pPr>
      <w:r>
        <w:rPr>
          <w:rFonts w:ascii="Times New Roman"/>
          <w:b w:val="false"/>
          <w:i w:val="false"/>
          <w:color w:val="000000"/>
          <w:sz w:val="28"/>
        </w:rPr>
        <w:t xml:space="preserve">
      По мнению Экономического Суда, указанная цель обусловила единообразие подходов при определении структуры денежного содержания сотрудников органов Содружества, в том числе военнослужащих, условий оплаты их труда и использовании таких понятий, как "надбавка", "повышающий коэффициент". Это подтверждается материалами заседаний представителей государств по обсуждению проектов Решения и Положения об условиях оплаты труда в органах Содружества. Представители государств отметили также необходимость принятия такого решения по оплате труда военнослужащих органов СНГ, которое давало бы право для компенсационных выплат. При толковании норм Положения об условиях оплаты труда в органах Содружества Независимых Государств, финансируемых из единого бюджета органов СНГ, Экономическим Судом указанные выше подходы были учтены. </w:t>
      </w:r>
    </w:p>
    <w:bookmarkEnd w:id="9"/>
    <w:p>
      <w:pPr>
        <w:spacing w:after="0"/>
        <w:ind w:left="0"/>
        <w:jc w:val="both"/>
      </w:pPr>
      <w:r>
        <w:rPr>
          <w:rFonts w:ascii="Times New Roman"/>
          <w:b w:val="false"/>
          <w:i w:val="false"/>
          <w:color w:val="000000"/>
          <w:sz w:val="28"/>
        </w:rPr>
        <w:t xml:space="preserve">       Положение </w:t>
      </w:r>
      <w:r>
        <w:rPr>
          <w:rFonts w:ascii="Times New Roman"/>
          <w:b w:val="false"/>
          <w:i w:val="false"/>
          <w:color w:val="000000"/>
          <w:sz w:val="28"/>
        </w:rPr>
        <w:t xml:space="preserve">состоит из разделов, регулирующих: </w:t>
      </w:r>
    </w:p>
    <w:bookmarkStart w:name="z12" w:id="10"/>
    <w:p>
      <w:pPr>
        <w:spacing w:after="0"/>
        <w:ind w:left="0"/>
        <w:jc w:val="both"/>
      </w:pPr>
      <w:r>
        <w:rPr>
          <w:rFonts w:ascii="Times New Roman"/>
          <w:b w:val="false"/>
          <w:i w:val="false"/>
          <w:color w:val="000000"/>
          <w:sz w:val="28"/>
        </w:rPr>
        <w:t>
      а) денежное вознаграждение Председателя Исполнительного комитета - Исполнительного секретаря СНГ и должностных лиц Исполнительного комитета СНГ (далее - Председатель и должностные лица Исполнительного комитета), Межгосударственного статистического комитета и Экономического Суда СНГ (раздел 2). Неотъемлемой частью Положения является  </w:t>
      </w:r>
      <w:r>
        <w:rPr>
          <w:rFonts w:ascii="Times New Roman"/>
          <w:b w:val="false"/>
          <w:i w:val="false"/>
          <w:color w:val="000000"/>
          <w:sz w:val="28"/>
        </w:rPr>
        <w:t xml:space="preserve">Порядок </w:t>
      </w:r>
      <w:r>
        <w:rPr>
          <w:rFonts w:ascii="Times New Roman"/>
          <w:b w:val="false"/>
          <w:i w:val="false"/>
          <w:color w:val="000000"/>
          <w:sz w:val="28"/>
        </w:rPr>
        <w:t xml:space="preserve">определения уровня денежного вознаграждения Председателя Исполнительного комитета - Исполнительного секретаря СНГ и должностных лиц Исполнительного комитета СНГ (Приложение 1 к Положению) (далее - Порядок); </w:t>
      </w:r>
    </w:p>
    <w:bookmarkEnd w:id="10"/>
    <w:bookmarkStart w:name="z13" w:id="11"/>
    <w:p>
      <w:pPr>
        <w:spacing w:after="0"/>
        <w:ind w:left="0"/>
        <w:jc w:val="both"/>
      </w:pPr>
      <w:r>
        <w:rPr>
          <w:rFonts w:ascii="Times New Roman"/>
          <w:b w:val="false"/>
          <w:i w:val="false"/>
          <w:color w:val="000000"/>
          <w:sz w:val="28"/>
        </w:rPr>
        <w:t xml:space="preserve">
      б) денежное содержание сотрудников Исполнительного комитета СНГ, Межгосударственного статистического комитета и Экономического Суда СНГ (раздел 3); </w:t>
      </w:r>
    </w:p>
    <w:bookmarkEnd w:id="11"/>
    <w:bookmarkStart w:name="z14" w:id="12"/>
    <w:p>
      <w:pPr>
        <w:spacing w:after="0"/>
        <w:ind w:left="0"/>
        <w:jc w:val="both"/>
      </w:pPr>
      <w:r>
        <w:rPr>
          <w:rFonts w:ascii="Times New Roman"/>
          <w:b w:val="false"/>
          <w:i w:val="false"/>
          <w:color w:val="000000"/>
          <w:sz w:val="28"/>
        </w:rPr>
        <w:t xml:space="preserve">
      в) денежное содержание военнослужащих, сотрудников органов внутренних дел и гражданского персонала рабочих органов Совета министров обороны, Совета командующих Пограничными войсками, Совета министров внутренних дел государств-участников СНГ и Антитеррористического центра государств-участников СНГ (раздел 4). </w:t>
      </w:r>
    </w:p>
    <w:bookmarkEnd w:id="12"/>
    <w:bookmarkStart w:name="z15" w:id="13"/>
    <w:p>
      <w:pPr>
        <w:spacing w:after="0"/>
        <w:ind w:left="0"/>
        <w:jc w:val="both"/>
      </w:pPr>
      <w:r>
        <w:rPr>
          <w:rFonts w:ascii="Times New Roman"/>
          <w:b w:val="false"/>
          <w:i w:val="false"/>
          <w:color w:val="000000"/>
          <w:sz w:val="28"/>
        </w:rPr>
        <w:t>
      С целью выяснения правовой природы повышающего коэффициента, предусмотренного  </w:t>
      </w:r>
      <w:r>
        <w:rPr>
          <w:rFonts w:ascii="Times New Roman"/>
          <w:b w:val="false"/>
          <w:i w:val="false"/>
          <w:color w:val="000000"/>
          <w:sz w:val="28"/>
        </w:rPr>
        <w:t xml:space="preserve">пунктом 18 </w:t>
      </w:r>
      <w:r>
        <w:rPr>
          <w:rFonts w:ascii="Times New Roman"/>
          <w:b w:val="false"/>
          <w:i w:val="false"/>
          <w:color w:val="000000"/>
          <w:sz w:val="28"/>
        </w:rPr>
        <w:t xml:space="preserve">Положения, Экономический Суд считает необходимым провести сравнительный анализ структуры денежного вознаграждения и денежного содержания лиц, указанных в разделах 2 - 4 Положения. </w:t>
      </w:r>
    </w:p>
    <w:bookmarkEnd w:id="13"/>
    <w:bookmarkStart w:name="z16" w:id="14"/>
    <w:p>
      <w:pPr>
        <w:spacing w:after="0"/>
        <w:ind w:left="0"/>
        <w:jc w:val="both"/>
      </w:pPr>
      <w:r>
        <w:rPr>
          <w:rFonts w:ascii="Times New Roman"/>
          <w:b w:val="false"/>
          <w:i w:val="false"/>
          <w:color w:val="000000"/>
          <w:sz w:val="28"/>
        </w:rPr>
        <w:t xml:space="preserve">
      Так, структура денежного вознаграждения Председателя и должностных лиц Исполнительного комитета включает: </w:t>
      </w:r>
      <w:r>
        <w:br/>
      </w:r>
      <w:r>
        <w:rPr>
          <w:rFonts w:ascii="Times New Roman"/>
          <w:b w:val="false"/>
          <w:i w:val="false"/>
          <w:color w:val="000000"/>
          <w:sz w:val="28"/>
        </w:rPr>
        <w:t xml:space="preserve">
      1) расчетный оклад Председателя Исполнительного комитета, определяемый путем умножения базового оклада на коэффициент 3,33 (пункт 3 Порядка); </w:t>
      </w:r>
      <w:r>
        <w:br/>
      </w:r>
      <w:r>
        <w:rPr>
          <w:rFonts w:ascii="Times New Roman"/>
          <w:b w:val="false"/>
          <w:i w:val="false"/>
          <w:color w:val="000000"/>
          <w:sz w:val="28"/>
        </w:rPr>
        <w:t xml:space="preserve">
      2) повышающий коэффициент 1, 6, устанавливаемый за особые условия работы в межгосударственной организации и в целях компенсации расходов на социальное и медицинское обслуживание (пункт 5 Порядка). </w:t>
      </w:r>
      <w:r>
        <w:br/>
      </w:r>
      <w:r>
        <w:rPr>
          <w:rFonts w:ascii="Times New Roman"/>
          <w:b w:val="false"/>
          <w:i w:val="false"/>
          <w:color w:val="000000"/>
          <w:sz w:val="28"/>
        </w:rPr>
        <w:t xml:space="preserve">
      Таким образом, Положение четко определяет природу коэффициента 3, 33, с помощью которого образуется новый (расчетный) оклад, и повышающего коэффициента 1, 6, увеличивающего размер денежного вознаграждения (путем умножения расчетного оклада на этот коэффициент). </w:t>
      </w:r>
      <w:r>
        <w:br/>
      </w:r>
      <w:r>
        <w:rPr>
          <w:rFonts w:ascii="Times New Roman"/>
          <w:b w:val="false"/>
          <w:i w:val="false"/>
          <w:color w:val="000000"/>
          <w:sz w:val="28"/>
        </w:rPr>
        <w:t xml:space="preserve">
      Расчетные оклады должностных лиц Исполнительного комитета устанавливаются в процентном отношении к расчетному окладу Председателя Исполнительного комитета в соответствии со Схемой определения расчетных окладов должностных лиц Исполнительного комитета. </w:t>
      </w:r>
      <w:r>
        <w:br/>
      </w:r>
      <w:r>
        <w:rPr>
          <w:rFonts w:ascii="Times New Roman"/>
          <w:b w:val="false"/>
          <w:i w:val="false"/>
          <w:color w:val="000000"/>
          <w:sz w:val="28"/>
        </w:rPr>
        <w:t>
      В структуру денежного содержания сотрудников Исполнительного комитета включены следующие выплаты: должностной оклад; надбавки к должностному окладу; премия по результатам работы ( </w:t>
      </w:r>
      <w:r>
        <w:rPr>
          <w:rFonts w:ascii="Times New Roman"/>
          <w:b w:val="false"/>
          <w:i w:val="false"/>
          <w:color w:val="000000"/>
          <w:sz w:val="28"/>
        </w:rPr>
        <w:t xml:space="preserve">пункт 9 </w:t>
      </w:r>
      <w:r>
        <w:rPr>
          <w:rFonts w:ascii="Times New Roman"/>
          <w:b w:val="false"/>
          <w:i w:val="false"/>
          <w:color w:val="000000"/>
          <w:sz w:val="28"/>
        </w:rPr>
        <w:t>Положения). За особые условия службы в межгосударственных органах согласно  </w:t>
      </w:r>
      <w:r>
        <w:rPr>
          <w:rFonts w:ascii="Times New Roman"/>
          <w:b w:val="false"/>
          <w:i w:val="false"/>
          <w:color w:val="000000"/>
          <w:sz w:val="28"/>
        </w:rPr>
        <w:t xml:space="preserve">пункту 11 </w:t>
      </w:r>
      <w:r>
        <w:rPr>
          <w:rFonts w:ascii="Times New Roman"/>
          <w:b w:val="false"/>
          <w:i w:val="false"/>
          <w:color w:val="000000"/>
          <w:sz w:val="28"/>
        </w:rPr>
        <w:t xml:space="preserve">Положения для сотрудников Исполнительного комитета предусмотрена ежемесячная надбавка к должностному окладу. </w:t>
      </w:r>
      <w:r>
        <w:br/>
      </w:r>
      <w:r>
        <w:rPr>
          <w:rFonts w:ascii="Times New Roman"/>
          <w:b w:val="false"/>
          <w:i w:val="false"/>
          <w:color w:val="000000"/>
          <w:sz w:val="28"/>
        </w:rPr>
        <w:t>
      Денежное содержание военнослужащих, сотрудников органов внутренних дел и гражданского персонала рабочих органов Совета министров обороны, Совета командующих Пограничными войсками, Совета министров внутренних дел и Антитеррористического центра СНГ в соответствии с  </w:t>
      </w:r>
      <w:r>
        <w:rPr>
          <w:rFonts w:ascii="Times New Roman"/>
          <w:b w:val="false"/>
          <w:i w:val="false"/>
          <w:color w:val="000000"/>
          <w:sz w:val="28"/>
        </w:rPr>
        <w:t xml:space="preserve">пунктом 16 </w:t>
      </w:r>
      <w:r>
        <w:rPr>
          <w:rFonts w:ascii="Times New Roman"/>
          <w:b w:val="false"/>
          <w:i w:val="false"/>
          <w:color w:val="000000"/>
          <w:sz w:val="28"/>
        </w:rPr>
        <w:t>Положения состоит из: оклада по воинскому званию, должностного оклада, надбавок к должностному окладу, премий по результатам работы. За особые условия службы в межгосударственных органах военнослужащим и другим лицам, указанным в пункте 16 Положения, установлен повышающий коэффициент в размере 1, 3 (1,5) к должностным окладам ( </w:t>
      </w:r>
      <w:r>
        <w:rPr>
          <w:rFonts w:ascii="Times New Roman"/>
          <w:b w:val="false"/>
          <w:i w:val="false"/>
          <w:color w:val="000000"/>
          <w:sz w:val="28"/>
        </w:rPr>
        <w:t xml:space="preserve">пункт 18 </w:t>
      </w:r>
      <w:r>
        <w:rPr>
          <w:rFonts w:ascii="Times New Roman"/>
          <w:b w:val="false"/>
          <w:i w:val="false"/>
          <w:color w:val="000000"/>
          <w:sz w:val="28"/>
        </w:rPr>
        <w:t xml:space="preserve">Положения). </w:t>
      </w:r>
      <w:r>
        <w:br/>
      </w:r>
      <w:r>
        <w:rPr>
          <w:rFonts w:ascii="Times New Roman"/>
          <w:b w:val="false"/>
          <w:i w:val="false"/>
          <w:color w:val="000000"/>
          <w:sz w:val="28"/>
        </w:rPr>
        <w:t xml:space="preserve">
      Таким образом, надбавка и повышающий коэффициент имеют единое основание для их выплат - особые условия работы или службы в межгосударственных органах. Это означает, что понятие "надбавка" и понятие "повышающий коэффициент", несмотря на их терминологическое расхождение, равнозначны. То обстоятельство, что повышающий коэффициент установлен Председателю и должностным лицам Исполнительного комитета не только за особые условия работы в межгосударственной организации, но и в целях компенсации расходов на социальное и медицинское обеспечение (пункт 5 Порядка), не изменяет его правовой природы как надбавки. </w:t>
      </w:r>
      <w:r>
        <w:br/>
      </w:r>
      <w:r>
        <w:rPr>
          <w:rFonts w:ascii="Times New Roman"/>
          <w:b w:val="false"/>
          <w:i w:val="false"/>
          <w:color w:val="000000"/>
          <w:sz w:val="28"/>
        </w:rPr>
        <w:t xml:space="preserve">
      С учетом цели принятия Решения об условиях оплаты труда в органах Содружества Независимых Государств, финансируемых из единого бюджета органов СНГ, от 25 апреля 2003 года, на основе анализа структуры денежного содержания и назначения выплат, входящих в его состав, Экономический Суд приходит к выводу о единой правовой природе повышающего коэффициента и надбавки к должностному окладу. Выплаты с применением повышающего коэффициента (пункт 18 Положения) не образуют нового оклада, но увеличивают денежное содержание военнослужащих, других лиц, указанных в пункте 16 Положения. </w:t>
      </w:r>
      <w:r>
        <w:br/>
      </w:r>
      <w:r>
        <w:rPr>
          <w:rFonts w:ascii="Times New Roman"/>
          <w:b w:val="false"/>
          <w:i w:val="false"/>
          <w:color w:val="000000"/>
          <w:sz w:val="28"/>
        </w:rPr>
        <w:t xml:space="preserve">
      Экономический Суд отмечает также, что пенсионное обеспечение военнослужащих по окончании их службы в Штабе по координации военного сотрудничества осуществляется в соответствии с законодательством государства Содружества, в кадрах вооруженных сил которого военнослужащие состоят (пункт 27 Положения о Штабе по координации военного сотрудничества, утвержденного Решением Совета глав государств СНГ от 21 июня 2000 года). Согласно действующему законодательству некоторых государств-участников Содружества (Республика Беларусь, Республика Казахстан, Кыргызская Республика, Российская Федерация) при исчислении пенсии военнослужащим, откомандированным из Штаба по координации военного сотрудничества в министерства обороны направляющих государств, применяется должностной оклад без учета повышающего коэффициента за особые условия службы в межгосударственных органах. </w:t>
      </w:r>
      <w:r>
        <w:br/>
      </w: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пунктами 143, 148 Регламента Экономического Суда Содружества Независимых Государств, Экономический Суд Содружества Независимых Государств </w:t>
      </w:r>
    </w:p>
    <w:bookmarkEnd w:id="14"/>
    <w:p>
      <w:pPr>
        <w:spacing w:after="0"/>
        <w:ind w:left="0"/>
        <w:jc w:val="left"/>
      </w:pPr>
      <w:r>
        <w:rPr>
          <w:rFonts w:ascii="Times New Roman"/>
          <w:b/>
          <w:i w:val="false"/>
          <w:color w:val="000000"/>
        </w:rPr>
        <w:t xml:space="preserve"> РЕШИЛ : </w:t>
      </w:r>
    </w:p>
    <w:p>
      <w:pPr>
        <w:spacing w:after="0"/>
        <w:ind w:left="0"/>
        <w:jc w:val="both"/>
      </w:pPr>
      <w:r>
        <w:rPr>
          <w:rFonts w:ascii="Times New Roman"/>
          <w:b w:val="false"/>
          <w:i w:val="false"/>
          <w:color w:val="000000"/>
          <w:sz w:val="28"/>
        </w:rPr>
        <w:t>      Дать по запросу Штаба по координации военного сотрудничества государств-участников Содружества Независимых Государств, правопреемником которого с 1 января 2006 года является Секретариат Совета министров обороны государств-участников СНГ, следующее толкование применения  </w:t>
      </w:r>
      <w:r>
        <w:rPr>
          <w:rFonts w:ascii="Times New Roman"/>
          <w:b w:val="false"/>
          <w:i w:val="false"/>
          <w:color w:val="000000"/>
          <w:sz w:val="28"/>
        </w:rPr>
        <w:t xml:space="preserve">пунктов 16 </w:t>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Положения об условиях оплаты труда в органах Содружества Независимых Государств, финансируемых из единого бюджета органов СНГ, утвержденного Решением Совета глав правительств СНГ об условиях оплаты труда в органах Содружества Независимых Государств, финансируемых из единого бюджета органов СНГ, от 25 апреля 2003 года. </w:t>
      </w:r>
      <w:r>
        <w:br/>
      </w:r>
      <w:r>
        <w:rPr>
          <w:rFonts w:ascii="Times New Roman"/>
          <w:b w:val="false"/>
          <w:i w:val="false"/>
          <w:color w:val="000000"/>
          <w:sz w:val="28"/>
        </w:rPr>
        <w:t xml:space="preserve">
      Пункт 16 Положения об условиях оплаты труда в органах Содружества Независимых Государств, финансируемых из единого бюджета органов СНГ, от 25 апреля 2003 года в целях упорядочения денежного содержания военнослужащих, сотрудников органов внутренних дел и гражданского персонала рабочих органов Совета министров обороны, Совета командующих Пограничными войсками, Совета министров внутренних дел государств-участников СНГ и Антитеррористического центра государств-участников СНГ определяет составляющие денежного содержания указанной категории лиц - должностной оклад, оклад по воинскому званию, надбавки к должностному окладу, премии по результатам работы. </w:t>
      </w:r>
      <w:r>
        <w:br/>
      </w:r>
      <w:r>
        <w:rPr>
          <w:rFonts w:ascii="Times New Roman"/>
          <w:b w:val="false"/>
          <w:i w:val="false"/>
          <w:color w:val="000000"/>
          <w:sz w:val="28"/>
        </w:rPr>
        <w:t>
      Аналогичные элементы денежного содержания, кроме оклада по воинскому званию, установлены и для сотрудников Исполнительного комитета СНГ ( </w:t>
      </w:r>
      <w:r>
        <w:rPr>
          <w:rFonts w:ascii="Times New Roman"/>
          <w:b w:val="false"/>
          <w:i w:val="false"/>
          <w:color w:val="000000"/>
          <w:sz w:val="28"/>
        </w:rPr>
        <w:t xml:space="preserve">пункт 9 </w:t>
      </w:r>
      <w:r>
        <w:rPr>
          <w:rFonts w:ascii="Times New Roman"/>
          <w:b w:val="false"/>
          <w:i w:val="false"/>
          <w:color w:val="000000"/>
          <w:sz w:val="28"/>
        </w:rPr>
        <w:t xml:space="preserve">Положения). </w:t>
      </w:r>
      <w:r>
        <w:br/>
      </w:r>
      <w:r>
        <w:rPr>
          <w:rFonts w:ascii="Times New Roman"/>
          <w:b w:val="false"/>
          <w:i w:val="false"/>
          <w:color w:val="000000"/>
          <w:sz w:val="28"/>
        </w:rPr>
        <w:t xml:space="preserve">
      Повышающий коэффициент, предусмотренный пунктом 18 Положения об условиях оплаты труда в органах Содружества Независимых Государств, финансируемых из единого бюджета органов СНГ, от 25 апреля 2003 года, по своей правовой природе является надбавкой. Выплаты с применением повышающего коэффициента не образуют нового оклада, но повышают денежное содержание военнослужащих и других лиц, круг которых предусмотрен в пункте 16 Положения. </w:t>
      </w:r>
      <w:r>
        <w:br/>
      </w:r>
      <w:r>
        <w:rPr>
          <w:rFonts w:ascii="Times New Roman"/>
          <w:b w:val="false"/>
          <w:i w:val="false"/>
          <w:color w:val="000000"/>
          <w:sz w:val="28"/>
        </w:rPr>
        <w:t xml:space="preserve">
      Копию решения направить Секретариату Совета министров обороны государств-участников Содружества Независимых Государств, правительствам государств-участников Содружества Независимых Государств, Исполнительному комитету Содружества Независимых Государств. </w:t>
      </w:r>
      <w:r>
        <w:br/>
      </w:r>
      <w:r>
        <w:rPr>
          <w:rFonts w:ascii="Times New Roman"/>
          <w:b w:val="false"/>
          <w:i w:val="false"/>
          <w:color w:val="000000"/>
          <w:sz w:val="28"/>
        </w:rPr>
        <w:t xml:space="preserve">
      Решение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r>
        <w:br/>
      </w:r>
      <w:r>
        <w:rPr>
          <w:rFonts w:ascii="Times New Roman"/>
          <w:b w:val="false"/>
          <w:i w:val="false"/>
          <w:color w:val="000000"/>
          <w:sz w:val="28"/>
        </w:rPr>
        <w:t xml:space="preserve">
      Решение окончательно и обжалованию не подлежит. </w:t>
      </w:r>
    </w:p>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