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22f8" w14:textId="1f22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таможенном тарифе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марта 2009 года № 24.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состоянии дел по формированию Единого таможенного тарифа.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завершить рассмотрение проекта Единого таможенного тарифа с точки зрения возможных изменений структуры производства, потребления и импорта.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"Таможенно-тарифное регулирование" подготовить предложения по возможным решениям поставленных Сторонами проблемных вопросов.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Российской Стороне, основываясь на положениях Соглашения об общей Товарной номенклатуре внешнеэкономической деятельности Евразийского экономического сообщества от 20 сентября 2002 года, вести в качестве оператора товарную номенклатуру Единого таможенного тарифа.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