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840c" w14:textId="2478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марта 2009 года № 29.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во второй половине апреля 2009 года в г. Москве.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за основу проект повестки дня четвертого заседания Комиссии таможенного союза (прилагается).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