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7447" w14:textId="a0b7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обеспечению свободного обращения продукции, подлежащей обязательной оценке (подтверждению) соответствия, на единой таможенной территории таможенного союза и созданию системы санитарного, ветеринарного и карантинного фитосанитарного контроля на внешней границе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60.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руководителя экспертной группы по направлению "Техническое регулирование, применение санитарных, ветеринарных и фитосанитарных мер" Назаренко В.В. о доработке Комплекса мер по обеспечению свободного обращения продукции, подлежащей обязательной оценке (подтверждению) соответствия, на единой таможенной территории таможенного союза и созданию системы санитарного, ветеринарного и карантинного фитосанитарного контроля на внешней границе таможенного союза с учетом одобренных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правительств от 9 июня 2009 года № 9 этапов и сроков формирования единой таможенной территории таможенного союза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Комплекс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свободного обращения продукции, подлежащей обязательной оценке (подтверждению) соответствия, на единой таможенной территории таможенного союза и созданию системы санитарного, ветеринарного и карантинного фитосанитарного контроля на внешней границе таможенного союза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Просить Стороны поручить соответствующим органам исполнительной власти обеспечить выполнение Комплекса мер,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установленные сроки.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представить в Секретариат Комиссии таможенного союза: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белорусскую Сторону в срок до 15 июля 2009 года - проект Соглашения о техническом регулировании и применении санитарных, ветеринарно-санитарных и фитосанитарных мер в период формирования единой таможенной территории таможенного союза;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российскую Сторону в срок до 20 июля 2009 года: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Соглашения о признании результатов работ по подтверждению соответствия;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позицию по проекту Соглашения о взаимном признании аккредитации органов по сертификации (подтверждению соответствия) и испытательных лабораторий (центров), выполняющих работы по подтверждению соответствия;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казахстанскую Сторону в срок до 1 октября 2009 года проекты: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Единого перечня продукции (товаров), подлежащей государственному санитарно-эпидемиологическому надзору (контролю);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Единой номенклатуры товаров, подлежащих ветеринарному контролю (надзору);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Стороны в срок до 1 сентября 2009 года - проекты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по итогам проведения внутригосударственного согласования.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Экспертной группе "Техническое регулирование, применение санитарных, ветеринарных и фитосанитарных мер" обеспечить координацию работ по выполнению Комплекса мер,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разрешить вносить в него, в случае необходимости, изменения.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2009 года № 60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 МЕР</w:t>
      </w:r>
      <w:r>
        <w:br/>
      </w:r>
      <w:r>
        <w:rPr>
          <w:rFonts w:ascii="Times New Roman"/>
          <w:b/>
          <w:i w:val="false"/>
          <w:color w:val="000000"/>
        </w:rPr>
        <w:t>по обеспечению свободного обращения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обязательной оценке (подтверждению) соответствия, на единой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 таможенного союза и созданию системы</w:t>
      </w:r>
      <w:r>
        <w:br/>
      </w:r>
      <w:r>
        <w:rPr>
          <w:rFonts w:ascii="Times New Roman"/>
          <w:b/>
          <w:i w:val="false"/>
          <w:color w:val="000000"/>
        </w:rPr>
        <w:t>санитарного, ветеринарного и карантинного фитосанитарного</w:t>
      </w:r>
      <w:r>
        <w:br/>
      </w:r>
      <w:r>
        <w:rPr>
          <w:rFonts w:ascii="Times New Roman"/>
          <w:b/>
          <w:i w:val="false"/>
          <w:color w:val="000000"/>
        </w:rPr>
        <w:t>контроля на внешней границе таможенного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525"/>
        <w:gridCol w:w="1139"/>
        <w:gridCol w:w="3359"/>
        <w:gridCol w:w="1621"/>
        <w:gridCol w:w="849"/>
        <w:gridCol w:w="1045"/>
        <w:gridCol w:w="851"/>
      </w:tblGrid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орган 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направлению "Техническое регулирование"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ВГС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Ростехре-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чень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СКТС**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Ростехре-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Ростехре-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ВГС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Ростехре-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ВГС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Ростехре-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ввозимой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КТРиМ*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Ростехре-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направлению "Санитарные меры"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ВГС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(контроля)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(контролю)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направлению "Ветеринарно-санитарные меры"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ВГС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ввозе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-надзор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направлению "Карантин растений"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договор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ВГС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(надзора)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хозпрод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Минсельхоз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- Комитет по техническому регулировании и метрологии Министерства индустрии и торговли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**) - Секретариат Комиссии таможенного союза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документов и сроки их разработки могут быть уточнены в процессе разработки. Форма реализации может быть уточнена после определения полномочий Комиссии таможенного союза.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