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5fca" w14:textId="6d15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состава экспертной группы по направлению "Косвенные налоги"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128.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уточненный состав экспертной группы, по направлению "Косвенные налоги"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