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2f8f" w14:textId="f1b2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чувствительных товаров, в отношении которых решение об изменении ставки ввозной таможенной пошлины Комиссия Таможенного союза принимает консенсусом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9 декабря 2010 года № 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Перечень чувствительных товаров, в отношении которых решение об изменении ставки ввозной таможенной пошлины Комиссия Таможенного союза принимает консенсусом (утвержден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Межгосударственного Совета ЕврАзЭС(Высшего органа Таможенного союза) на уровне глав государств от 27 ноября 2009 г. № 18 (далее – Перечень),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из Перечня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включить в Перечень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3"/>
        <w:gridCol w:w="4433"/>
        <w:gridCol w:w="4433"/>
      </w:tblGrid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Межгоссовета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(Высшего органа Таможенного союза)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уровне глав государств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2010 г. № 66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исключаемые из Перечня чувствительных товаров, в отношении</w:t>
      </w:r>
      <w:r>
        <w:br/>
      </w:r>
      <w:r>
        <w:rPr>
          <w:rFonts w:ascii="Times New Roman"/>
          <w:b/>
          <w:i w:val="false"/>
          <w:color w:val="000000"/>
        </w:rPr>
        <w:t>
которых решение об изменении ставки ввозной таможенной пошлины</w:t>
      </w:r>
      <w:r>
        <w:br/>
      </w:r>
      <w:r>
        <w:rPr>
          <w:rFonts w:ascii="Times New Roman"/>
          <w:b/>
          <w:i w:val="false"/>
          <w:color w:val="000000"/>
        </w:rPr>
        <w:t>
Комиссия Таможенного союза принимает консенсусом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9453"/>
      </w:tblGrid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 ТС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</w:t>
            </w:r>
          </w:p>
        </w:tc>
      </w:tr>
      <w:tr>
        <w:trPr>
          <w:trHeight w:val="73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1511 10 900 1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в коробах, бочках, канистрах или бидах нетто-массой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кг или менее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1511 10 900 9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прочее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1511 90 190 1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коробах, бочках, канистрах или бидах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нетто-массой 200 кг или менее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1511 90 190 9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1511 90 990 1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коробах, бочках, канистрах или бидах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нетто-массой 200 кг или менее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1511 90 990 9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2710 11 900 0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легкие дистилляты прочие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3925 90 800 0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8802 40 002 2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самолеты гражданские пассажирские с количеством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 мест более чем на 50 человек, но не более 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300 человек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9003 90 000 0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Межгоссовета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(Высшего органа Таможенного союза)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уровне глав государств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2010 г. № 66   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включаемые в Перечень чувствительных товаров, в отношении</w:t>
      </w:r>
      <w:r>
        <w:br/>
      </w:r>
      <w:r>
        <w:rPr>
          <w:rFonts w:ascii="Times New Roman"/>
          <w:b/>
          <w:i w:val="false"/>
          <w:color w:val="000000"/>
        </w:rPr>
        <w:t>
которых решение об изменении ставки ввозной таможенной пошлины</w:t>
      </w:r>
      <w:r>
        <w:br/>
      </w:r>
      <w:r>
        <w:rPr>
          <w:rFonts w:ascii="Times New Roman"/>
          <w:b/>
          <w:i w:val="false"/>
          <w:color w:val="000000"/>
        </w:rPr>
        <w:t>
Комиссия Таможенного союза принимает консенсусом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9453"/>
      </w:tblGrid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 ТС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</w:t>
            </w:r>
          </w:p>
        </w:tc>
      </w:tr>
      <w:tr>
        <w:trPr>
          <w:trHeight w:val="57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1511 10 900 2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в таре вместимостью 20 000 кг или менее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1511 10 900 8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прочее</w:t>
            </w:r>
          </w:p>
        </w:tc>
      </w:tr>
      <w:tr>
        <w:trPr>
          <w:trHeight w:val="64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1511 90 190 2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таре вместимостью 20 000 кг или менее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1511 90 190 8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64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1511 90 990 2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таре вместимостью 20 000 кг или менее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1511 90 990 8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2710 11 900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легкие дистилляты прочие: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2710 11 900 1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тримеры и тетрамеры пропилена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2710 11 900 9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3925 90 800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прочие: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3925 90 800 1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изготовленные из полиуретана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3925 90 800 9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66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самолеты гражданские пассажирские с количеством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 мест более чем на 50 человек, но не более 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300 человек:</w:t>
            </w:r>
          </w:p>
        </w:tc>
      </w:tr>
      <w:tr>
        <w:trPr>
          <w:trHeight w:val="66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8802 40 002 4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 массой пустого снаряженного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аппарата более 90 000 кг, но не более 120 000 кг 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8802 40 002 5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9003 90 000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части: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9003 90 000 1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пластмассы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9003 90 000 9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