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1ac6" w14:textId="fda1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ханизме зачисления и распределения сумм таможенных пошлин, иных пошлин, налогов и сборов, имеющих эквивалентное действ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января 2010 года № 16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в целях выполнения пункта 7.1 Плана действий по формированию таможенного союза в рамках Евразийского экономического сообщества в редакции Решения Межгосударственного Совета ЕврАзЭС (высшего органа таможенного союза) на уровне глав государств от 27 ноября 2009 года № 14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татс-секретаря – Заместителя Министра финансов Российской Федерации С.Д.Шаталова о разработке проекта Cоглашения об установлении и применении в таможенном союзе порядка зачисления и распределения ввозных таможенных пошлин, иных пошлин, налогов и сборов, имеющих эквивалентное действие (далее – проект Соглаше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ам финансов сторон в срок до 5 февраля 2010 г. завершить работу по согласованию принципов расчета норматива распределения сумм ввозных таможенных пошли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ой группе по направлению "Выработка механизма зачисления и распределения сумм таможенных пошлин, иных пошлин, налогов и сборов, имеющих эквивалентное действие" (далее – экспертная группа) в срок до 8 февраля 2010 года провести заседание экспертной группы в целях окончательного согласования текста проекта Соглашения с учетом предложений Сторон о том, чт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числение и распределение ввозных таможенных пошлин осуществляется с бюджетного счета государства – члена таможенного союза в центральных (национальных) банках Сторон; белорусская Сторона к 01.07.2010г. открывает в Национальном банке Республики Беларусь единый бюджетный счет для ввозных таможенных пош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вертация национальных валют осуществляется центральными (национальными) банками Сторон по официальному курсу национальной валюты государства?члена таможенного союза к доллару США на дату проведения конверсионной операци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экспертной группы И.В.Трунину в срок до 15 февраля 2010 года представить в Секретариат Комиссии таможенного союза (далее – Секретариат, Комиссия) проект Соглашения в целях внесения его для рассмотрения на 14-ом заседании Комиссии с целью одобрения и последующего направления Сторонам для проведения внутригосударственных процедур, необходимых для его подпис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ной группе по институциональным вопросам проработать предложения российской Стороны о создании наднациональных институтов регулирования в области распределения сумм таможенных пошлин, иных пошлин, налогов и сборов, имеющих эквивалентное действие, а также наднациональных институтов таможенного регулир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