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7fd0" w14:textId="f3d7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"Нетарифное регулирование" В.В. Ламкова 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26.07.2016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пункта 1 статьи 3 Соглашения о правилах лицензирования в сфере внешней торговли товарами от 9 июня 2009 года установить, что: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генеральная лицензия на экспорт и (или) импорт отдельного вида товара, включенного в разделы 2.9, 2.10, 2.24, 2.25, 2.27 Единого перечня товаров, к которым применяются запреты или ограничения на ввоз или вывоз государствами - участниками таможенного союза в рамках Евразийского экономического сообщества в торговле с третьими странами (далее – Единый перечень), выдается в соответствии с решениями правительств государств - участников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исключительная лицензия на экспорт и (или) импорт отдельного вида товара, включенного в раздел 2.26 Единого перечня,выдается участникам внешнеторговой деятельности, которые определяются в соответствии с законодательством государства-участника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Комиссии таможенного союза от 16.08.2011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вступления во Всемирную торговую организацию одного из государств-членов Таможенного союза); решениями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опубликования); от 25.09.2012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реализации требований "Положения о порядке ввоза на таможенную территорию таможенного союза в рамках ЕврАзЭС и вывоза с таможенной территории таможенного союза драгоценных металлов, драгоценных камней и сырьевых товаров, содержащих драгоценные металлы" в части осуществления государственного контроля драгоценных металлов, драгоценных камней и сырьевых товаров, содержащих драгоценные металлы, идентификации драгоценных камней, до 1 июля 2010 г. руководствоваться национальным законодательством государств-участников таможенного союза.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168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являющихся существенно важными для</w:t>
      </w:r>
      <w:r>
        <w:br/>
      </w:r>
      <w:r>
        <w:rPr>
          <w:rFonts w:ascii="Times New Roman"/>
          <w:b/>
          <w:i w:val="false"/>
          <w:color w:val="000000"/>
        </w:rPr>
        <w:t>внутреннего рынка таможенного союза, в отношении которых в</w:t>
      </w:r>
      <w:r>
        <w:br/>
      </w:r>
      <w:r>
        <w:rPr>
          <w:rFonts w:ascii="Times New Roman"/>
          <w:b/>
          <w:i w:val="false"/>
          <w:color w:val="000000"/>
        </w:rPr>
        <w:t>исключительных случаях могут быть установлены временные</w:t>
      </w:r>
      <w:r>
        <w:br/>
      </w:r>
      <w:r>
        <w:rPr>
          <w:rFonts w:ascii="Times New Roman"/>
          <w:b/>
          <w:i w:val="false"/>
          <w:color w:val="000000"/>
        </w:rPr>
        <w:t>ограничения или запреты экспорта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26.07.2016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168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об исполнении лицензии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168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1.7 ОРУДИЯ ДОБЫЧИ (ВЫЛОВА) ВОДНЫХ</w:t>
      </w:r>
      <w:r>
        <w:br/>
      </w:r>
      <w:r>
        <w:rPr>
          <w:rFonts w:ascii="Times New Roman"/>
          <w:b/>
          <w:i w:val="false"/>
          <w:color w:val="000000"/>
        </w:rPr>
        <w:t>БИОЛОГИЧЕСКИХ РЕСУРСОВ, ЗАПРЕЩЕННЫЕ К ВВОЗУ</w:t>
      </w:r>
      <w:r>
        <w:br/>
      </w:r>
      <w:r>
        <w:rPr>
          <w:rFonts w:ascii="Times New Roman"/>
          <w:b/>
          <w:i w:val="false"/>
          <w:color w:val="000000"/>
        </w:rPr>
        <w:t>НА ТАМОЖЕННУЮ ТЕРРИТОРИЮ ТАМОЖЕННОГО СОЮЗА*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168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2.25 ТОВАРЫ, ПРИ ЭКСПОРТЕ И (ИЛИ) ИМПОРТЕ</w:t>
      </w:r>
      <w:r>
        <w:br/>
      </w:r>
      <w:r>
        <w:rPr>
          <w:rFonts w:ascii="Times New Roman"/>
          <w:b/>
          <w:i w:val="false"/>
          <w:color w:val="000000"/>
        </w:rPr>
        <w:t>КОТОРЫХ УСТАНОВЛЕН РАЗРЕШИТЕЛЬНЫЙ ПОРЯДОК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