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fafb" w14:textId="db6f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согласованных проектов международных соглашений и договоров, указанных в разделе I Сетевого графика подготовки в 2010 году проектов международных соглашений и нормативных правовых актов, утверждаемых Комиссией таможенного союза (Решение КТС от 27 января 2010 года № 160)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214.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проекты соглашений и договоров,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в срок до 16 мая 2010 года провести внутригосударственные процедуры, необходимые для подписания указанных в пункте 1 настоящего решения проектов соглашений и договоров.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г. № 214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соглашений и договоров, указанных в</w:t>
      </w:r>
      <w:r>
        <w:br/>
      </w:r>
      <w:r>
        <w:rPr>
          <w:rFonts w:ascii="Times New Roman"/>
          <w:b/>
          <w:i w:val="false"/>
          <w:color w:val="000000"/>
        </w:rPr>
        <w:t>разделе I Сетевого графика подготовки в 2010 году проектов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международных соглашений и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утверждаемых Комиссией таможенного союза  (Решение КТС от 27</w:t>
      </w:r>
      <w:r>
        <w:br/>
      </w:r>
      <w:r>
        <w:rPr>
          <w:rFonts w:ascii="Times New Roman"/>
          <w:b/>
          <w:i w:val="false"/>
          <w:color w:val="000000"/>
        </w:rPr>
        <w:t>января 2010 года № 160)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об основных принципах уголовной и административной ответственности за нарушения таможенного законодательства таможенного союза.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взаимной административной помощи таможенных органов государств-членов таможенного союза.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 требованиях к обмену информацией между таможенными органами и иными государственными органами государств-членов таможенного союза.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о представлении и об обмене предварительной информацией о товарах и транспортных средствах, перемещаемых через таможенную границу таможенного союза.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Соглашение об особенностях таможенного транзита товаров, перемещаемых железнодорожным транспортом по таможенной территории таможенного союза.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Соглашение между государствами-членами таможенного союза о правовой помощи и взаимодействии по уголовным делам и делам об административных правонарушениях.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Соглашение об основаниях, условиях и порядке изменения сроков уплаты таможенных пошлин.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