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b50d" w14:textId="db2b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2.13 Единого перечня товаров, к которым применяются запреты 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241.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раздел 2.13 «Ядовитые вещества, не являющиеся прекурсорами наркотических средств и психотропных веществ, ограниченные к перемещению через таможенную границу таможенного союза при ввозе» Единого перечня товаров следующие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 наименовании раздела после слов «при ввозе» дополнить словами «и вывозе».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 раздел следующими позициями: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Графа «Наименование» - «49. Цианиды натрия**», графа «Код ЕТН ВЭД» - «из 2837 11 000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Графа «Наименование» - «50. Цианиды калия**», графа «Код ЕТН ВЭД» - «из 2837 19 000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Графа «Наименование» - «51. Цианиды меди», графа «Код ЕТН ВЭД» - «из 2837 19 000 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примечание к разделу абзацем следующего содержания: «**Только при их ввозе и транзите по территории государств – участников таможенного союза в случае, если такие товары не контролируются системой экспортного контроля».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позиции 16 в графе «Код ЕТН ВЭД» исключить слово «из».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позиции 24 графу «Наименование» изложить в следующей редакции «Ртути дийодид».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