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fff8" w14:textId="546f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сметы расходов Комиссии таможенного союза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мая 2010 года № 268.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</w:rPr>
        <w:t>сметы расходов Комиссии таможенного союза на 2011 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461 575,6 тыс. российских рублей;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Решения Межгосударственного совета ЕврАзЭС (высшего органа таможенного союза) на уровне глав правительств "О проекте сметы расходов Комиссии таможенного союза на 2011 год" (прилагаются).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          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смете расходов Комиссии таможенного союза на 2011 год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Евразийского экономического сообщества (высший орган таможенного союза) на уровне глав правительств решил: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Одобрить проекты сметы расходов Комиссии таможенного союза на 2011 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решения Межгоссовета ЕврАзЭС (высшего органа таможенного союза) на уровне глав государств по данному вопросу (прилагаются), внести их на рассмотрение Межгоссовета ЕврАзЭС (высшего органа таможенного союза) на уровне глав государств.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Члены Межгосударственного Совета </w:t>
      </w:r>
      <w:r>
        <w:rPr>
          <w:rFonts w:ascii="Times New Roman"/>
          <w:b w:val="false"/>
          <w:i/>
          <w:color w:val="000000"/>
          <w:sz w:val="28"/>
        </w:rPr>
        <w:t>Совета</w:t>
      </w:r>
      <w:r>
        <w:rPr>
          <w:rFonts w:ascii="Times New Roman"/>
          <w:b w:val="false"/>
          <w:i/>
          <w:color w:val="000000"/>
          <w:sz w:val="28"/>
        </w:rPr>
        <w:t xml:space="preserve">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          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смете расходов Комиссии таможенного союза на 2011 год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Евразийского экономического сообщества (высший орган таможенного союза) на уровне глав государств решил: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пунктом 4 Решения Межгосударственного Совета ЕврАзЭС (высшего органа таможенного союза) от 12 декабря 2008 г. № 5 "О комиссии таможенного союза", проиндексировать базовый оклад работника загранучреждения в г. Москве, утвержденный Решением Межгосударственного Совета ЕврАзЭС (высшего органа таможенного союза) "О смете расходов Комиссии таможенного союза на 2010 год", на индекс роста потребительских цен – 7 %, и установить его в размере 20 948,83 российских рублей.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сметы расходов Комиссии таможенного союза на 2011 год в сумме 461 575,6 тыс. российских рублей, которые формируются за счет долевых взносов государств – членов таможенного союза, в том числе: Республики Беларусь – 99238,8 тыс. российских рублей, Республики Казахстан – 99238,8 тыс. российских рублей и Российской Федерации – 263098,0 тыс. российских рублей.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</w:t>
      </w:r>
      <w:r>
        <w:rPr>
          <w:rFonts w:ascii="Times New Roman"/>
          <w:b w:val="false"/>
          <w:i w:val="false"/>
          <w:color w:val="000000"/>
          <w:sz w:val="28"/>
        </w:rPr>
        <w:t>смету расходов Комиссии таможенного союза на 2011 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(прилагается).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1 января 2011 года.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Члены Межгосударственного Совета </w:t>
      </w:r>
      <w:r>
        <w:rPr>
          <w:rFonts w:ascii="Times New Roman"/>
          <w:b w:val="false"/>
          <w:i/>
          <w:color w:val="000000"/>
          <w:sz w:val="28"/>
        </w:rPr>
        <w:t>ЕврАзЭС</w:t>
      </w:r>
      <w:r>
        <w:rPr>
          <w:rFonts w:ascii="Times New Roman"/>
          <w:b w:val="false"/>
          <w:i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Межгоссовета ЕврАзЭС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(Высшего органа таможенного союза)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глав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2010 года №__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Смета расходов Комиссии таможенного союза на 2011 год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41"/>
        <w:gridCol w:w="3118"/>
        <w:gridCol w:w="6441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росс. руб.)</w:t>
            </w:r>
          </w:p>
        </w:tc>
      </w:tr>
      <w:tr>
        <w:trPr>
          <w:trHeight w:val="30" w:hRule="atLeast"/>
        </w:trPr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</w:t>
            </w:r>
          </w:p>
        </w:tc>
        <w:tc>
          <w:tcPr>
            <w:tcW w:w="3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предметных статей расходов</w:t>
            </w:r>
          </w:p>
        </w:tc>
        <w:tc>
          <w:tcPr>
            <w:tcW w:w="6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6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437 657,6</w:t>
            </w:r>
          </w:p>
        </w:tc>
      </w:tr>
      <w:tr>
        <w:trPr>
          <w:trHeight w:val="30" w:hRule="atLeast"/>
        </w:trPr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и начисления на выплаты по оплате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6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221 646,3</w:t>
            </w:r>
          </w:p>
        </w:tc>
      </w:tr>
      <w:tr>
        <w:trPr>
          <w:trHeight w:val="30" w:hRule="atLeast"/>
        </w:trPr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6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163 636,1</w:t>
            </w:r>
          </w:p>
        </w:tc>
      </w:tr>
      <w:tr>
        <w:trPr>
          <w:trHeight w:val="30" w:hRule="atLeast"/>
        </w:trPr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выплаты</w:t>
            </w:r>
          </w:p>
        </w:tc>
        <w:tc>
          <w:tcPr>
            <w:tcW w:w="6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4 016,0</w:t>
            </w:r>
          </w:p>
        </w:tc>
      </w:tr>
      <w:tr>
        <w:trPr>
          <w:trHeight w:val="30" w:hRule="atLeast"/>
        </w:trPr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Начисления на выплаты по оплате труда</w:t>
            </w:r>
          </w:p>
        </w:tc>
        <w:tc>
          <w:tcPr>
            <w:tcW w:w="6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53 994,2</w:t>
            </w:r>
          </w:p>
        </w:tc>
      </w:tr>
      <w:tr>
        <w:trPr>
          <w:trHeight w:val="30" w:hRule="atLeast"/>
        </w:trPr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работ, услуг</w:t>
            </w:r>
          </w:p>
        </w:tc>
        <w:tc>
          <w:tcPr>
            <w:tcW w:w="6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209 529,4</w:t>
            </w:r>
          </w:p>
        </w:tc>
      </w:tr>
      <w:tr>
        <w:trPr>
          <w:trHeight w:val="30" w:hRule="atLeast"/>
        </w:trPr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6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6 218,5</w:t>
            </w:r>
          </w:p>
        </w:tc>
      </w:tr>
      <w:tr>
        <w:trPr>
          <w:trHeight w:val="30" w:hRule="atLeast"/>
        </w:trPr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6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41 912,3</w:t>
            </w:r>
          </w:p>
        </w:tc>
      </w:tr>
      <w:tr>
        <w:trPr>
          <w:trHeight w:val="30" w:hRule="atLeast"/>
        </w:trPr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Арендная плата за пользование имуществом</w:t>
            </w:r>
          </w:p>
        </w:tc>
        <w:tc>
          <w:tcPr>
            <w:tcW w:w="6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8 481,4</w:t>
            </w:r>
          </w:p>
        </w:tc>
      </w:tr>
      <w:tr>
        <w:trPr>
          <w:trHeight w:val="30" w:hRule="atLeast"/>
        </w:trPr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услуги по содержанию имущества</w:t>
            </w:r>
          </w:p>
        </w:tc>
        <w:tc>
          <w:tcPr>
            <w:tcW w:w="6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96 251,1</w:t>
            </w:r>
          </w:p>
        </w:tc>
      </w:tr>
      <w:tr>
        <w:trPr>
          <w:trHeight w:val="30" w:hRule="atLeast"/>
        </w:trPr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работы, услуги</w:t>
            </w:r>
          </w:p>
        </w:tc>
        <w:tc>
          <w:tcPr>
            <w:tcW w:w="6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56 666,1</w:t>
            </w:r>
          </w:p>
        </w:tc>
      </w:tr>
      <w:tr>
        <w:trPr>
          <w:trHeight w:val="30" w:hRule="atLeast"/>
        </w:trPr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6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6 481,9</w:t>
            </w:r>
          </w:p>
        </w:tc>
      </w:tr>
      <w:tr>
        <w:trPr>
          <w:trHeight w:val="30" w:hRule="atLeast"/>
        </w:trPr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нефинансовых активов</w:t>
            </w:r>
          </w:p>
        </w:tc>
        <w:tc>
          <w:tcPr>
            <w:tcW w:w="6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23 918,0</w:t>
            </w:r>
          </w:p>
        </w:tc>
      </w:tr>
      <w:tr>
        <w:trPr>
          <w:trHeight w:val="30" w:hRule="atLeast"/>
        </w:trPr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стоимости основных средств</w:t>
            </w:r>
          </w:p>
        </w:tc>
        <w:tc>
          <w:tcPr>
            <w:tcW w:w="6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19 473,5</w:t>
            </w:r>
          </w:p>
        </w:tc>
      </w:tr>
      <w:tr>
        <w:trPr>
          <w:trHeight w:val="30" w:hRule="atLeast"/>
        </w:trPr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стоимости материальных запасов</w:t>
            </w:r>
          </w:p>
        </w:tc>
        <w:tc>
          <w:tcPr>
            <w:tcW w:w="6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4 444,5</w:t>
            </w:r>
          </w:p>
        </w:tc>
      </w:tr>
      <w:tr>
        <w:trPr>
          <w:trHeight w:val="30" w:hRule="atLeast"/>
        </w:trPr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РАСХОДОВ</w:t>
            </w:r>
          </w:p>
        </w:tc>
        <w:tc>
          <w:tcPr>
            <w:tcW w:w="6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461 575,6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