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c755" w14:textId="6d3c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международных соглашениях, подготовленных в соответствии с Планом мероприятий по введению в действие Таможенного кодекса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286.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Планом мероприятий по введению в действие Таможенного кодекса таможенного союза, утвержденным Решением Межгоссовета ЕврАзЭС (высшего органа таможенного союза) от 27 ноября 2009 года № 17,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проекты международных соглашений,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государств-членов таможенного союза подписать проекты международных соглашений, указанные в приложении к настоящему Решению, в рабочем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таможенным службам государств-членов таможенного союза до 1 июля 2010 года разработать и принять временный порядок обмена информацией между собой о фактическом вывозе товаров, перемещаемых по линиям электропередачи и трубопроводным транспортом за пределы таможенной территории таможенного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2010 года № 286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соглашений, подготовленных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Планом мероприятий по введению в действие Таможенного кодекса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союза, утвержденным Решением Межгоссовета ЕврАзЭС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от 27 ноября 2009 года № 17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свободных складах и таможенной процедуре свободного склада.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Комиссии таможенного союза от 07.04.2011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