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46ce" w14:textId="8e94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перераспределении ассигнований, предусмотренных в смете расходов Комиссии таможенного союза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Положением о смете расходов Комиссии таможенного союза, утвержденным Решением Межгоссовета ЕврАзЭС (высшего органа таможенного союза) от 12 декабря 2008 года № 5, разрешить Ответственному секретарю Комиссии таможенного союза осуществить перераспределение ассигнований, предусмотренных в смете расходов Комиссии таможенного союза на 2010 год, утвержденной Решением Межгоссовета ЕврАзЭС (высшего органа таможенного союза) от 27 ноября 2009 года № 21, между статьями расходов, кроме расходов на заработную плату, в пределах десяти процентов общего объема расходов, предусмотренных по этим статьям,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перераспределение сметных ассигнований между статьями</w:t>
      </w:r>
      <w:r>
        <w:br/>
      </w:r>
      <w:r>
        <w:rPr>
          <w:rFonts w:ascii="Times New Roman"/>
          <w:b/>
          <w:i w:val="false"/>
          <w:color w:val="000000"/>
        </w:rPr>
        <w:t>расходов на содержание Секретариата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 российских руб.)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2586"/>
        <w:gridCol w:w="6441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КОСГУ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№ 21)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таможенного союза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267547,1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Комиссии таможенного союза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267547,1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Секретариата Комиссии таможенного союза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267547,1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232986,7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124428,8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Заработная плата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96939,7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выплаты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4119,6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Начисления на выплаты по оплате труда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23369,5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Ооплата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работ, услуг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105716,1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связи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33038,4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Коммунальные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4643,7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Арендная плата за пользование имуществом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Работы, услуги по содержанию имущества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16436,2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работы,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717"/>
        <w:gridCol w:w="1717"/>
        <w:gridCol w:w="1717"/>
        <w:gridCol w:w="1953"/>
        <w:gridCol w:w="1640"/>
        <w:gridCol w:w="1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кварталам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уменьш.( -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увелич.( + )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96755,3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62488,8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50891,7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57411,3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267547,1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96755,3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62488,8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50891,7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57411,3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267547,1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96755,3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62488,8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50891,7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57411,3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267547,1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71719,2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57212,6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50282,6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53772,3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229986,7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23910,3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31996,4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31996,4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36525,7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124428,8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25124,1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25124,1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96939,7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47098,5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24505,8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17575,8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102716,1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№ 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33038,4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№ 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40014,5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статье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708"/>
        <w:gridCol w:w="1546"/>
        <w:gridCol w:w="1360"/>
        <w:gridCol w:w="1360"/>
        <w:gridCol w:w="1360"/>
        <w:gridCol w:w="1360"/>
        <w:gridCol w:w="1547"/>
        <w:gridCol w:w="1174"/>
        <w:gridCol w:w="1456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2841,8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2841,8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нематериальных активов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34560,4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25036,1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5276,2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37560,4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стоимости основных средств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33023,4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№ 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 расходов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267547,1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96755,3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62488,8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50891,7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57411,3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267547,1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                           С.Ю. Глазьев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                                 Г.И. Каштанова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